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4C5" w:rsidRPr="000B06DE" w:rsidRDefault="009104C5" w:rsidP="009104C5">
      <w:pPr>
        <w:spacing w:after="0" w:line="240" w:lineRule="auto"/>
        <w:ind w:left="567" w:right="-457"/>
        <w:jc w:val="center"/>
        <w:rPr>
          <w:rFonts w:ascii="Times New Roman" w:eastAsia="Times New Roman" w:hAnsi="Times New Roman" w:cs="Times New Roman"/>
          <w:b/>
          <w:sz w:val="28"/>
          <w:szCs w:val="28"/>
          <w:lang w:eastAsia="ru-RU"/>
        </w:rPr>
      </w:pPr>
      <w:bookmarkStart w:id="0" w:name="_GoBack"/>
      <w:r w:rsidRPr="000B06DE">
        <w:rPr>
          <w:rFonts w:ascii="Times New Roman" w:hAnsi="Times New Roman"/>
          <w:noProof/>
          <w:spacing w:val="8"/>
          <w:sz w:val="28"/>
          <w:szCs w:val="28"/>
          <w:lang w:eastAsia="uk-UA"/>
        </w:rPr>
        <w:drawing>
          <wp:inline distT="0" distB="0" distL="0" distR="0" wp14:anchorId="2718DE59" wp14:editId="0016BD26">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0B06DE">
        <w:rPr>
          <w:rFonts w:ascii="Times New Roman" w:eastAsia="Times New Roman" w:hAnsi="Times New Roman" w:cs="Times New Roman"/>
          <w:b/>
          <w:sz w:val="28"/>
          <w:szCs w:val="28"/>
          <w:lang w:eastAsia="ru-RU"/>
        </w:rPr>
        <w:t xml:space="preserve"> </w:t>
      </w:r>
    </w:p>
    <w:p w:rsidR="009104C5" w:rsidRPr="000B06DE" w:rsidRDefault="009104C5" w:rsidP="009104C5">
      <w:pPr>
        <w:spacing w:after="0" w:line="240" w:lineRule="auto"/>
        <w:ind w:left="567" w:right="-457"/>
        <w:jc w:val="center"/>
        <w:rPr>
          <w:rFonts w:ascii="Times New Roman" w:eastAsia="Times New Roman" w:hAnsi="Times New Roman" w:cs="Times New Roman"/>
          <w:b/>
          <w:sz w:val="28"/>
          <w:szCs w:val="28"/>
          <w:lang w:val="ru-RU" w:eastAsia="ru-RU"/>
        </w:rPr>
      </w:pPr>
      <w:r w:rsidRPr="000B06DE">
        <w:rPr>
          <w:rFonts w:ascii="Times New Roman" w:eastAsia="Times New Roman" w:hAnsi="Times New Roman" w:cs="Times New Roman"/>
          <w:b/>
          <w:sz w:val="28"/>
          <w:szCs w:val="28"/>
          <w:lang w:eastAsia="ru-RU"/>
        </w:rPr>
        <w:t xml:space="preserve">  УКРАЇНА</w:t>
      </w:r>
    </w:p>
    <w:p w:rsidR="009104C5" w:rsidRPr="000B06DE" w:rsidRDefault="009104C5" w:rsidP="009104C5">
      <w:pPr>
        <w:spacing w:after="0" w:line="240" w:lineRule="auto"/>
        <w:ind w:left="567" w:right="-457"/>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СОЛОТВИНСЬКА СЕЛИЩНА РАДА</w:t>
      </w:r>
    </w:p>
    <w:p w:rsidR="009104C5" w:rsidRPr="000B06DE" w:rsidRDefault="009104C5" w:rsidP="009104C5">
      <w:pPr>
        <w:spacing w:after="0" w:line="240" w:lineRule="auto"/>
        <w:ind w:left="567" w:right="-457"/>
        <w:jc w:val="center"/>
        <w:rPr>
          <w:rFonts w:ascii="Times New Roman" w:eastAsia="Times New Roman" w:hAnsi="Times New Roman" w:cs="Times New Roman"/>
          <w:b/>
          <w:sz w:val="28"/>
          <w:szCs w:val="28"/>
          <w:lang w:eastAsia="ru-RU"/>
        </w:rPr>
      </w:pPr>
      <w:r w:rsidRPr="000B06DE">
        <w:rPr>
          <w:rFonts w:ascii="Times New Roman" w:eastAsia="Times New Roman" w:hAnsi="Times New Roman" w:cs="Times New Roman"/>
          <w:b/>
          <w:sz w:val="28"/>
          <w:szCs w:val="28"/>
          <w:lang w:eastAsia="ru-RU"/>
        </w:rPr>
        <w:t>ІВАНО-ФРАНКІВСЬКИЙ РАЙОН ІВАНО-ФРАНКІВСЬКА ОБЛАСТЬ</w:t>
      </w:r>
    </w:p>
    <w:p w:rsidR="009104C5" w:rsidRPr="000B06DE" w:rsidRDefault="009104C5" w:rsidP="009104C5">
      <w:pPr>
        <w:spacing w:after="0" w:line="240" w:lineRule="auto"/>
        <w:ind w:left="567" w:right="-457"/>
        <w:jc w:val="center"/>
        <w:rPr>
          <w:rFonts w:ascii="Times New Roman" w:eastAsia="Times New Roman" w:hAnsi="Times New Roman" w:cs="Times New Roman"/>
          <w:color w:val="000000"/>
          <w:sz w:val="28"/>
          <w:szCs w:val="28"/>
          <w:lang w:eastAsia="uk-UA"/>
        </w:rPr>
      </w:pPr>
      <w:r w:rsidRPr="000B06DE">
        <w:rPr>
          <w:rFonts w:ascii="Times New Roman" w:eastAsia="Times New Roman" w:hAnsi="Times New Roman" w:cs="Times New Roman"/>
          <w:b/>
          <w:bCs/>
          <w:color w:val="000000"/>
          <w:sz w:val="28"/>
          <w:szCs w:val="28"/>
          <w:lang w:eastAsia="uk-UA"/>
        </w:rPr>
        <w:t>Восьме демократичне скликання</w:t>
      </w:r>
    </w:p>
    <w:p w:rsidR="009104C5" w:rsidRPr="000B06DE" w:rsidRDefault="009104C5" w:rsidP="009104C5">
      <w:pPr>
        <w:spacing w:after="0" w:line="240" w:lineRule="auto"/>
        <w:ind w:left="567" w:right="-457"/>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Тридцять третя</w:t>
      </w:r>
      <w:r w:rsidRPr="000B06DE">
        <w:rPr>
          <w:rFonts w:ascii="Times New Roman" w:eastAsia="Times New Roman" w:hAnsi="Times New Roman" w:cs="Times New Roman"/>
          <w:b/>
          <w:bCs/>
          <w:color w:val="000000"/>
          <w:sz w:val="28"/>
          <w:szCs w:val="28"/>
          <w:lang w:eastAsia="uk-UA"/>
        </w:rPr>
        <w:t xml:space="preserve"> сесія</w:t>
      </w:r>
    </w:p>
    <w:p w:rsidR="009104C5" w:rsidRPr="000B06DE" w:rsidRDefault="009104C5" w:rsidP="009104C5">
      <w:pPr>
        <w:spacing w:after="0" w:line="240" w:lineRule="auto"/>
        <w:ind w:left="567" w:right="-457"/>
        <w:jc w:val="center"/>
        <w:rPr>
          <w:rFonts w:ascii="Times New Roman" w:eastAsia="Times New Roman" w:hAnsi="Times New Roman" w:cs="Times New Roman"/>
          <w:b/>
          <w:bCs/>
          <w:color w:val="000000"/>
          <w:sz w:val="28"/>
          <w:szCs w:val="28"/>
          <w:lang w:eastAsia="uk-UA"/>
        </w:rPr>
      </w:pPr>
    </w:p>
    <w:p w:rsidR="009104C5" w:rsidRPr="000B06DE" w:rsidRDefault="009104C5" w:rsidP="009104C5">
      <w:pPr>
        <w:spacing w:after="0" w:line="240" w:lineRule="auto"/>
        <w:ind w:left="567" w:right="-457"/>
        <w:jc w:val="center"/>
        <w:rPr>
          <w:rFonts w:ascii="Times New Roman" w:eastAsia="Times New Roman" w:hAnsi="Times New Roman" w:cs="Times New Roman"/>
          <w:b/>
          <w:bCs/>
          <w:color w:val="000000"/>
          <w:sz w:val="28"/>
          <w:szCs w:val="28"/>
          <w:lang w:val="ru-RU" w:eastAsia="uk-UA"/>
        </w:rPr>
      </w:pPr>
      <w:proofErr w:type="gramStart"/>
      <w:r w:rsidRPr="000B06DE">
        <w:rPr>
          <w:rFonts w:ascii="Times New Roman" w:eastAsia="Times New Roman" w:hAnsi="Times New Roman" w:cs="Times New Roman"/>
          <w:b/>
          <w:bCs/>
          <w:color w:val="000000"/>
          <w:sz w:val="28"/>
          <w:szCs w:val="28"/>
          <w:lang w:val="ru-RU" w:eastAsia="uk-UA"/>
        </w:rPr>
        <w:t>Р</w:t>
      </w:r>
      <w:proofErr w:type="gramEnd"/>
      <w:r w:rsidRPr="000B06DE">
        <w:rPr>
          <w:rFonts w:ascii="Times New Roman" w:eastAsia="Times New Roman" w:hAnsi="Times New Roman" w:cs="Times New Roman"/>
          <w:b/>
          <w:bCs/>
          <w:color w:val="000000"/>
          <w:sz w:val="28"/>
          <w:szCs w:val="28"/>
          <w:lang w:val="ru-RU" w:eastAsia="uk-UA"/>
        </w:rPr>
        <w:t>ІШЕННЯ</w:t>
      </w:r>
    </w:p>
    <w:p w:rsidR="009104C5" w:rsidRPr="000B06DE" w:rsidRDefault="009104C5" w:rsidP="009104C5">
      <w:pPr>
        <w:spacing w:after="0" w:line="240" w:lineRule="auto"/>
        <w:ind w:left="567" w:right="-457"/>
        <w:jc w:val="center"/>
        <w:rPr>
          <w:rFonts w:ascii="Times New Roman" w:eastAsia="Times New Roman" w:hAnsi="Times New Roman" w:cs="Times New Roman"/>
          <w:b/>
          <w:bCs/>
          <w:color w:val="000000"/>
          <w:sz w:val="28"/>
          <w:szCs w:val="28"/>
          <w:lang w:eastAsia="uk-UA"/>
        </w:rPr>
      </w:pPr>
    </w:p>
    <w:p w:rsidR="009104C5" w:rsidRPr="000B06DE" w:rsidRDefault="009104C5" w:rsidP="009104C5">
      <w:pPr>
        <w:spacing w:after="0" w:line="240" w:lineRule="auto"/>
        <w:ind w:left="567" w:right="-457"/>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23 липня </w:t>
      </w:r>
      <w:r w:rsidRPr="000B06DE">
        <w:rPr>
          <w:rFonts w:ascii="Times New Roman" w:eastAsia="Times New Roman" w:hAnsi="Times New Roman" w:cs="Times New Roman"/>
          <w:b/>
          <w:color w:val="000000"/>
          <w:sz w:val="28"/>
          <w:szCs w:val="28"/>
          <w:lang w:eastAsia="uk-UA"/>
        </w:rPr>
        <w:t xml:space="preserve"> 2024 року                </w:t>
      </w:r>
      <w:r>
        <w:rPr>
          <w:rFonts w:ascii="Times New Roman" w:eastAsia="Times New Roman" w:hAnsi="Times New Roman" w:cs="Times New Roman"/>
          <w:b/>
          <w:color w:val="000000"/>
          <w:sz w:val="28"/>
          <w:szCs w:val="28"/>
          <w:lang w:eastAsia="uk-UA"/>
        </w:rPr>
        <w:t xml:space="preserve">  </w:t>
      </w:r>
      <w:r w:rsidRPr="000B06D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№1798/33</w:t>
      </w:r>
      <w:r w:rsidRPr="000B06DE">
        <w:rPr>
          <w:rFonts w:ascii="Times New Roman" w:eastAsia="Times New Roman" w:hAnsi="Times New Roman" w:cs="Times New Roman"/>
          <w:b/>
          <w:color w:val="000000"/>
          <w:sz w:val="28"/>
          <w:szCs w:val="28"/>
          <w:lang w:eastAsia="uk-UA"/>
        </w:rPr>
        <w:t xml:space="preserve">/2024 </w:t>
      </w:r>
    </w:p>
    <w:p w:rsidR="009104C5" w:rsidRDefault="009104C5" w:rsidP="009104C5">
      <w:pPr>
        <w:spacing w:after="0" w:line="240" w:lineRule="auto"/>
        <w:ind w:left="567" w:right="-457"/>
        <w:rPr>
          <w:rFonts w:ascii="Times New Roman" w:eastAsiaTheme="minorEastAsia" w:hAnsi="Times New Roman" w:cs="Times New Roman"/>
          <w:b/>
          <w:bCs/>
          <w:spacing w:val="11"/>
          <w:sz w:val="28"/>
          <w:szCs w:val="28"/>
          <w:lang w:val="ru-RU" w:eastAsia="uk-UA"/>
        </w:rPr>
      </w:pPr>
    </w:p>
    <w:p w:rsidR="009104C5" w:rsidRPr="002C5429" w:rsidRDefault="009104C5" w:rsidP="009104C5">
      <w:pPr>
        <w:spacing w:after="0" w:line="240" w:lineRule="auto"/>
        <w:ind w:left="567" w:right="-457"/>
        <w:rPr>
          <w:rFonts w:ascii="Times New Roman" w:eastAsia="Times New Roman" w:hAnsi="Times New Roman" w:cs="Times New Roman"/>
          <w:b/>
          <w:bCs/>
          <w:color w:val="000000"/>
          <w:sz w:val="28"/>
          <w:szCs w:val="28"/>
          <w:lang w:eastAsia="ru-RU"/>
        </w:rPr>
      </w:pPr>
      <w:r w:rsidRPr="002C5429">
        <w:rPr>
          <w:rFonts w:ascii="Times New Roman" w:eastAsia="Times New Roman" w:hAnsi="Times New Roman" w:cs="Times New Roman"/>
          <w:b/>
          <w:bCs/>
          <w:color w:val="000000"/>
          <w:sz w:val="28"/>
          <w:szCs w:val="28"/>
          <w:lang w:eastAsia="ru-RU"/>
        </w:rPr>
        <w:t>Про затвердження екологічної Програми</w:t>
      </w:r>
    </w:p>
    <w:p w:rsidR="009104C5" w:rsidRPr="002C5429" w:rsidRDefault="009104C5" w:rsidP="009104C5">
      <w:pPr>
        <w:spacing w:after="0" w:line="240" w:lineRule="auto"/>
        <w:ind w:left="567" w:right="-457"/>
        <w:rPr>
          <w:rFonts w:ascii="Times New Roman" w:eastAsia="Times New Roman" w:hAnsi="Times New Roman" w:cs="Times New Roman"/>
          <w:b/>
          <w:bCs/>
          <w:color w:val="000000"/>
          <w:sz w:val="28"/>
          <w:szCs w:val="28"/>
          <w:lang w:eastAsia="ru-RU"/>
        </w:rPr>
      </w:pPr>
      <w:r w:rsidRPr="002C5429">
        <w:rPr>
          <w:rFonts w:ascii="Times New Roman" w:eastAsia="Times New Roman" w:hAnsi="Times New Roman" w:cs="Times New Roman"/>
          <w:b/>
          <w:bCs/>
          <w:color w:val="000000"/>
          <w:sz w:val="28"/>
          <w:szCs w:val="28"/>
          <w:lang w:eastAsia="ru-RU"/>
        </w:rPr>
        <w:t>С</w:t>
      </w:r>
      <w:r w:rsidRPr="002C5429">
        <w:rPr>
          <w:rFonts w:ascii="Times New Roman" w:eastAsia="Times New Roman" w:hAnsi="Times New Roman" w:cs="Times New Roman"/>
          <w:b/>
          <w:color w:val="000000"/>
          <w:sz w:val="28"/>
          <w:szCs w:val="28"/>
          <w:lang w:eastAsia="uk-UA"/>
        </w:rPr>
        <w:t>олотвинської</w:t>
      </w:r>
      <w:r w:rsidRPr="002C5429">
        <w:rPr>
          <w:rFonts w:ascii="Times New Roman" w:eastAsia="Times New Roman" w:hAnsi="Times New Roman" w:cs="Times New Roman"/>
          <w:b/>
          <w:sz w:val="28"/>
          <w:szCs w:val="28"/>
          <w:lang w:eastAsia="uk-UA"/>
        </w:rPr>
        <w:t xml:space="preserve"> селищної ради ТГ</w:t>
      </w:r>
    </w:p>
    <w:p w:rsidR="009104C5" w:rsidRPr="002C5429" w:rsidRDefault="009104C5" w:rsidP="009104C5">
      <w:pPr>
        <w:spacing w:after="0"/>
        <w:ind w:left="567" w:right="-457"/>
        <w:rPr>
          <w:rFonts w:ascii="Times New Roman" w:eastAsiaTheme="minorEastAsia" w:hAnsi="Times New Roman"/>
          <w:b/>
          <w:color w:val="000000"/>
          <w:sz w:val="28"/>
          <w:szCs w:val="28"/>
          <w:lang w:eastAsia="uk-UA"/>
        </w:rPr>
      </w:pPr>
      <w:r w:rsidRPr="002C5429">
        <w:rPr>
          <w:rFonts w:ascii="Times New Roman" w:eastAsiaTheme="minorEastAsia" w:hAnsi="Times New Roman"/>
          <w:b/>
          <w:color w:val="000000"/>
          <w:sz w:val="28"/>
          <w:szCs w:val="28"/>
          <w:lang w:eastAsia="uk-UA"/>
        </w:rPr>
        <w:t>на 2024-2026 роки</w:t>
      </w:r>
    </w:p>
    <w:p w:rsidR="009104C5" w:rsidRPr="002C5429" w:rsidRDefault="009104C5" w:rsidP="009104C5">
      <w:pPr>
        <w:spacing w:after="0"/>
        <w:ind w:left="567" w:right="-457"/>
        <w:rPr>
          <w:rFonts w:ascii="Times New Roman" w:eastAsiaTheme="minorEastAsia" w:hAnsi="Times New Roman"/>
          <w:b/>
          <w:color w:val="000000"/>
          <w:sz w:val="28"/>
          <w:szCs w:val="28"/>
          <w:lang w:eastAsia="uk-UA"/>
        </w:rPr>
      </w:pPr>
    </w:p>
    <w:p w:rsidR="009104C5" w:rsidRPr="002C5429" w:rsidRDefault="009104C5" w:rsidP="009104C5">
      <w:pPr>
        <w:spacing w:after="0"/>
        <w:ind w:left="567" w:right="-457"/>
        <w:rPr>
          <w:rFonts w:ascii="Times New Roman" w:eastAsiaTheme="minorEastAsia" w:hAnsi="Times New Roman"/>
          <w:b/>
          <w:color w:val="000000"/>
          <w:sz w:val="28"/>
          <w:szCs w:val="28"/>
          <w:lang w:eastAsia="uk-UA"/>
        </w:rPr>
      </w:pPr>
    </w:p>
    <w:p w:rsidR="009104C5" w:rsidRPr="002C5429" w:rsidRDefault="009104C5" w:rsidP="009104C5">
      <w:pPr>
        <w:tabs>
          <w:tab w:val="left" w:pos="420"/>
        </w:tabs>
        <w:spacing w:after="0" w:line="240" w:lineRule="auto"/>
        <w:ind w:left="567" w:right="-4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C542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2C5429">
        <w:rPr>
          <w:rFonts w:ascii="Times New Roman" w:eastAsia="Times New Roman" w:hAnsi="Times New Roman" w:cs="Times New Roman"/>
          <w:color w:val="000000"/>
          <w:sz w:val="28"/>
          <w:szCs w:val="28"/>
          <w:lang w:eastAsia="ru-RU"/>
        </w:rPr>
        <w:t xml:space="preserve">Керуючись  ст.26 Закону України  «Про місцеве самоврядування в Україні», </w:t>
      </w:r>
      <w:r>
        <w:rPr>
          <w:rFonts w:ascii="Times New Roman" w:eastAsia="Times New Roman" w:hAnsi="Times New Roman" w:cs="Times New Roman"/>
          <w:color w:val="000000"/>
          <w:sz w:val="28"/>
          <w:szCs w:val="28"/>
          <w:lang w:eastAsia="ru-RU"/>
        </w:rPr>
        <w:t xml:space="preserve">Закону </w:t>
      </w:r>
      <w:r w:rsidRPr="002C5429">
        <w:rPr>
          <w:rFonts w:ascii="Times New Roman" w:eastAsia="Times New Roman" w:hAnsi="Times New Roman" w:cs="Times New Roman"/>
          <w:color w:val="000000"/>
          <w:sz w:val="28"/>
          <w:szCs w:val="28"/>
          <w:lang w:eastAsia="ru-RU"/>
        </w:rPr>
        <w:t xml:space="preserve">України «Про охорону навколишнього природного середовища», враховуючи пропозиції </w:t>
      </w:r>
      <w:r w:rsidRPr="002C5429">
        <w:rPr>
          <w:rFonts w:ascii="Times New Roman" w:eastAsia="Times New Roman" w:hAnsi="Times New Roman" w:cs="Times New Roman"/>
          <w:sz w:val="28"/>
          <w:szCs w:val="28"/>
          <w:lang w:eastAsia="ru-RU"/>
        </w:rPr>
        <w:t>постійної комісії з питань планування фінансів, бюджету інвестицій та міжнародного співробітництва, соціально-економічного розвитку, постійної комісії з питань земельних відносин, будівництва, архітектури та екології</w:t>
      </w:r>
      <w:r>
        <w:rPr>
          <w:rFonts w:ascii="Times New Roman" w:eastAsia="Times New Roman" w:hAnsi="Times New Roman" w:cs="Times New Roman"/>
          <w:sz w:val="28"/>
          <w:szCs w:val="28"/>
          <w:lang w:eastAsia="ru-RU"/>
        </w:rPr>
        <w:t xml:space="preserve">, </w:t>
      </w:r>
      <w:r w:rsidRPr="002C5429">
        <w:rPr>
          <w:rFonts w:ascii="Times New Roman" w:eastAsia="Times New Roman" w:hAnsi="Times New Roman" w:cs="Times New Roman"/>
          <w:sz w:val="28"/>
          <w:szCs w:val="28"/>
          <w:lang w:eastAsia="ru-RU"/>
        </w:rPr>
        <w:t xml:space="preserve"> Солотвинська селищна рада</w:t>
      </w:r>
    </w:p>
    <w:p w:rsidR="009104C5" w:rsidRPr="002C5429" w:rsidRDefault="009104C5" w:rsidP="009104C5">
      <w:pPr>
        <w:tabs>
          <w:tab w:val="left" w:pos="420"/>
        </w:tabs>
        <w:spacing w:after="0" w:line="240" w:lineRule="auto"/>
        <w:ind w:left="567" w:right="-457"/>
        <w:jc w:val="both"/>
        <w:rPr>
          <w:rFonts w:ascii="Times New Roman" w:eastAsia="Times New Roman" w:hAnsi="Times New Roman" w:cs="Times New Roman"/>
          <w:color w:val="000000"/>
          <w:sz w:val="28"/>
          <w:szCs w:val="28"/>
          <w:lang w:eastAsia="ru-RU"/>
        </w:rPr>
      </w:pPr>
    </w:p>
    <w:p w:rsidR="009104C5" w:rsidRPr="002C5429" w:rsidRDefault="009104C5" w:rsidP="009104C5">
      <w:pPr>
        <w:spacing w:after="0" w:line="240" w:lineRule="auto"/>
        <w:ind w:left="567" w:right="-457"/>
        <w:jc w:val="center"/>
        <w:rPr>
          <w:rFonts w:ascii="Times New Roman" w:eastAsia="Times New Roman" w:hAnsi="Times New Roman" w:cs="Times New Roman"/>
          <w:b/>
          <w:color w:val="000000"/>
          <w:sz w:val="28"/>
          <w:szCs w:val="28"/>
          <w:lang w:eastAsia="uk-UA"/>
        </w:rPr>
      </w:pPr>
      <w:r w:rsidRPr="002C5429">
        <w:rPr>
          <w:rFonts w:ascii="Times New Roman" w:eastAsia="Times New Roman" w:hAnsi="Times New Roman" w:cs="Times New Roman"/>
          <w:b/>
          <w:color w:val="000000"/>
          <w:sz w:val="28"/>
          <w:szCs w:val="28"/>
          <w:lang w:eastAsia="uk-UA"/>
        </w:rPr>
        <w:t>ВИРІШИЛА:</w:t>
      </w:r>
    </w:p>
    <w:p w:rsidR="009104C5" w:rsidRPr="002C5429" w:rsidRDefault="009104C5" w:rsidP="009104C5">
      <w:pPr>
        <w:tabs>
          <w:tab w:val="left" w:pos="420"/>
        </w:tabs>
        <w:spacing w:after="0" w:line="240" w:lineRule="auto"/>
        <w:ind w:left="567" w:right="-457"/>
        <w:jc w:val="both"/>
        <w:rPr>
          <w:rFonts w:ascii="Times New Roman" w:eastAsia="Times New Roman" w:hAnsi="Times New Roman" w:cs="Times New Roman"/>
          <w:b/>
          <w:sz w:val="28"/>
          <w:szCs w:val="28"/>
          <w:lang w:eastAsia="ru-RU"/>
        </w:rPr>
      </w:pPr>
    </w:p>
    <w:p w:rsidR="009104C5" w:rsidRPr="002C5429" w:rsidRDefault="009104C5" w:rsidP="009104C5">
      <w:pPr>
        <w:spacing w:after="0" w:line="240" w:lineRule="auto"/>
        <w:ind w:left="567" w:right="-457"/>
        <w:rPr>
          <w:rFonts w:ascii="Times New Roman" w:eastAsiaTheme="minorEastAsia" w:hAnsi="Times New Roman"/>
          <w:color w:val="000000"/>
          <w:sz w:val="28"/>
          <w:szCs w:val="28"/>
          <w:lang w:eastAsia="uk-UA"/>
        </w:rPr>
      </w:pPr>
      <w:r w:rsidRPr="002C5429">
        <w:rPr>
          <w:rFonts w:ascii="Times New Roman" w:eastAsiaTheme="minorEastAsia" w:hAnsi="Times New Roman"/>
          <w:color w:val="000000"/>
          <w:sz w:val="28"/>
          <w:szCs w:val="28"/>
          <w:lang w:eastAsia="uk-UA"/>
        </w:rPr>
        <w:t xml:space="preserve">      1.Затвердити екологічну Програму </w:t>
      </w:r>
      <w:r w:rsidRPr="002C5429">
        <w:rPr>
          <w:rFonts w:ascii="Times New Roman" w:eastAsiaTheme="minorEastAsia" w:hAnsi="Times New Roman"/>
          <w:sz w:val="28"/>
          <w:szCs w:val="28"/>
          <w:lang w:eastAsia="uk-UA"/>
        </w:rPr>
        <w:t xml:space="preserve"> Солотвинської територіальної громади на 2024-2026 роки (додається).</w:t>
      </w:r>
    </w:p>
    <w:p w:rsidR="009104C5" w:rsidRPr="002C5429" w:rsidRDefault="009104C5" w:rsidP="009104C5">
      <w:pPr>
        <w:spacing w:after="0" w:line="240" w:lineRule="auto"/>
        <w:ind w:left="567" w:right="-457"/>
        <w:jc w:val="both"/>
        <w:rPr>
          <w:rFonts w:ascii="Times New Roman" w:eastAsia="Times New Roman" w:hAnsi="Times New Roman"/>
          <w:color w:val="000000"/>
          <w:sz w:val="28"/>
          <w:szCs w:val="28"/>
          <w:lang w:eastAsia="ru-RU"/>
        </w:rPr>
      </w:pPr>
      <w:r w:rsidRPr="002C5429">
        <w:rPr>
          <w:rFonts w:ascii="Times New Roman" w:eastAsia="Times New Roman" w:hAnsi="Times New Roman"/>
          <w:color w:val="000000"/>
          <w:sz w:val="28"/>
          <w:szCs w:val="28"/>
          <w:lang w:eastAsia="ru-RU"/>
        </w:rPr>
        <w:t xml:space="preserve">      2. Встановити що фінансування заходів  Програми здійснюється за рахунок коштів місцевого бюджету та інших, не заборонених чинним законодавством джерел, з урахуванням можливостей дохідної частини місцевого бюджету. </w:t>
      </w:r>
    </w:p>
    <w:p w:rsidR="009104C5" w:rsidRPr="002C5429" w:rsidRDefault="009104C5" w:rsidP="009104C5">
      <w:pPr>
        <w:spacing w:after="0" w:line="240" w:lineRule="auto"/>
        <w:ind w:left="567" w:right="-457"/>
        <w:jc w:val="both"/>
        <w:rPr>
          <w:rFonts w:ascii="Times New Roman" w:eastAsia="Times New Roman" w:hAnsi="Times New Roman" w:cs="Times New Roman"/>
          <w:sz w:val="28"/>
          <w:szCs w:val="28"/>
          <w:lang w:eastAsia="ru-RU"/>
        </w:rPr>
      </w:pPr>
      <w:r w:rsidRPr="002C5429">
        <w:rPr>
          <w:rFonts w:ascii="Times New Roman" w:eastAsia="Times New Roman" w:hAnsi="Times New Roman" w:cs="Times New Roman"/>
          <w:color w:val="000000"/>
          <w:sz w:val="28"/>
          <w:szCs w:val="28"/>
          <w:lang w:eastAsia="ru-RU"/>
        </w:rPr>
        <w:t xml:space="preserve">      3. </w:t>
      </w:r>
      <w:r w:rsidRPr="002C5429">
        <w:rPr>
          <w:rFonts w:ascii="Times New Roman" w:eastAsia="Times New Roman" w:hAnsi="Times New Roman" w:cs="Times New Roman"/>
          <w:sz w:val="28"/>
          <w:szCs w:val="28"/>
          <w:lang w:eastAsia="ru-RU"/>
        </w:rPr>
        <w:t xml:space="preserve">Контроль за виконання рішення покласти на </w:t>
      </w:r>
      <w:r w:rsidRPr="002C5429">
        <w:rPr>
          <w:rFonts w:ascii="Times New Roman" w:eastAsia="Times New Roman" w:hAnsi="Times New Roman" w:cs="Times New Roman"/>
          <w:sz w:val="28"/>
          <w:szCs w:val="28"/>
          <w:bdr w:val="none" w:sz="0" w:space="0" w:color="auto" w:frame="1"/>
          <w:lang w:eastAsia="ru-RU"/>
        </w:rPr>
        <w:t xml:space="preserve">заступника селищного голови з питань діяльності виконавчих органів ради (Іванишина Ю.Я.), </w:t>
      </w:r>
      <w:r w:rsidRPr="002C5429">
        <w:rPr>
          <w:rFonts w:ascii="Times New Roman" w:eastAsia="Times New Roman" w:hAnsi="Times New Roman" w:cs="Times New Roman"/>
          <w:sz w:val="28"/>
          <w:szCs w:val="28"/>
          <w:lang w:eastAsia="ru-RU"/>
        </w:rPr>
        <w:t>постійну комісію з питань земельних відносин, будівництва, архітектури та екології (Білан О.Л.) та постійну комісію з питань фінансів, бюджету, інвестицій та міжнародного співробітництва, соціально-економічного розвитку (</w:t>
      </w:r>
      <w:proofErr w:type="spellStart"/>
      <w:r w:rsidRPr="002C5429">
        <w:rPr>
          <w:rFonts w:ascii="Times New Roman" w:eastAsia="Times New Roman" w:hAnsi="Times New Roman" w:cs="Times New Roman"/>
          <w:sz w:val="28"/>
          <w:szCs w:val="28"/>
          <w:lang w:eastAsia="ru-RU"/>
        </w:rPr>
        <w:t>Білусяк</w:t>
      </w:r>
      <w:proofErr w:type="spellEnd"/>
      <w:r w:rsidRPr="002C5429">
        <w:rPr>
          <w:rFonts w:ascii="Times New Roman" w:eastAsia="Times New Roman" w:hAnsi="Times New Roman" w:cs="Times New Roman"/>
          <w:sz w:val="28"/>
          <w:szCs w:val="28"/>
          <w:lang w:eastAsia="ru-RU"/>
        </w:rPr>
        <w:t xml:space="preserve"> Б.В.).</w:t>
      </w:r>
    </w:p>
    <w:p w:rsidR="009104C5" w:rsidRDefault="009104C5" w:rsidP="009104C5">
      <w:pPr>
        <w:spacing w:before="100" w:beforeAutospacing="1" w:after="240" w:afterAutospacing="1" w:line="240" w:lineRule="auto"/>
        <w:ind w:left="567" w:right="-457"/>
        <w:jc w:val="both"/>
        <w:rPr>
          <w:rFonts w:ascii="Times New Roman" w:eastAsia="Times New Roman" w:hAnsi="Times New Roman" w:cs="Times New Roman"/>
          <w:sz w:val="28"/>
          <w:szCs w:val="28"/>
          <w:lang w:eastAsia="ru-RU"/>
        </w:rPr>
      </w:pPr>
      <w:r w:rsidRPr="002C5429">
        <w:rPr>
          <w:rFonts w:ascii="Times New Roman" w:eastAsia="Times New Roman" w:hAnsi="Times New Roman" w:cs="Times New Roman"/>
          <w:color w:val="000000"/>
          <w:sz w:val="28"/>
          <w:szCs w:val="28"/>
          <w:lang w:eastAsia="ru-RU"/>
        </w:rPr>
        <w:t xml:space="preserve"> </w:t>
      </w:r>
    </w:p>
    <w:p w:rsidR="009104C5" w:rsidRPr="002C5429" w:rsidRDefault="009104C5" w:rsidP="009104C5">
      <w:pPr>
        <w:spacing w:before="100" w:beforeAutospacing="1" w:after="240" w:afterAutospacing="1" w:line="240" w:lineRule="auto"/>
        <w:ind w:left="567" w:right="-457"/>
        <w:jc w:val="both"/>
        <w:rPr>
          <w:rFonts w:ascii="Times New Roman" w:eastAsia="Times New Roman" w:hAnsi="Times New Roman" w:cs="Times New Roman"/>
          <w:sz w:val="28"/>
          <w:szCs w:val="28"/>
          <w:lang w:eastAsia="ru-RU"/>
        </w:rPr>
      </w:pPr>
    </w:p>
    <w:p w:rsidR="009104C5" w:rsidRPr="002C5429" w:rsidRDefault="009104C5" w:rsidP="009104C5">
      <w:pPr>
        <w:ind w:left="567" w:right="-457"/>
        <w:rPr>
          <w:rFonts w:ascii="Times New Roman" w:eastAsia="Times New Roman" w:hAnsi="Times New Roman"/>
          <w:b/>
          <w:bCs/>
          <w:color w:val="000000"/>
          <w:sz w:val="28"/>
          <w:szCs w:val="28"/>
          <w:lang w:eastAsia="ru-RU"/>
        </w:rPr>
      </w:pPr>
      <w:r w:rsidRPr="002C5429">
        <w:rPr>
          <w:rFonts w:ascii="Times New Roman" w:eastAsiaTheme="minorEastAsia" w:hAnsi="Times New Roman"/>
          <w:b/>
          <w:bCs/>
          <w:color w:val="000000"/>
          <w:sz w:val="28"/>
          <w:szCs w:val="28"/>
          <w:lang w:eastAsia="uk-UA"/>
        </w:rPr>
        <w:t>Селищний  голова                                                  Манолій ПІЦУРЯК</w:t>
      </w:r>
    </w:p>
    <w:bookmarkEnd w:id="0"/>
    <w:p w:rsidR="009104C5" w:rsidRDefault="009104C5" w:rsidP="009104C5">
      <w:pPr>
        <w:ind w:left="567" w:right="-457"/>
      </w:pPr>
    </w:p>
    <w:p w:rsidR="009104C5" w:rsidRPr="0069453B" w:rsidRDefault="009104C5" w:rsidP="009104C5">
      <w:pPr>
        <w:spacing w:after="0"/>
        <w:ind w:left="567" w:right="-457"/>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lastRenderedPageBreak/>
        <w:t xml:space="preserve">                                                                                </w:t>
      </w:r>
      <w:r w:rsidRPr="0069453B">
        <w:rPr>
          <w:rFonts w:ascii="Times New Roman" w:eastAsia="Times New Roman" w:hAnsi="Times New Roman" w:cs="Times New Roman"/>
          <w:b/>
          <w:color w:val="000000"/>
          <w:sz w:val="28"/>
          <w:szCs w:val="28"/>
          <w:lang w:eastAsia="uk-UA"/>
        </w:rPr>
        <w:t>ЗАТВЕРДЖЕНО</w:t>
      </w:r>
    </w:p>
    <w:p w:rsidR="009104C5" w:rsidRPr="0069453B" w:rsidRDefault="009104C5" w:rsidP="009104C5">
      <w:pPr>
        <w:spacing w:after="0"/>
        <w:ind w:left="567" w:right="-457"/>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w:t>
      </w:r>
      <w:r w:rsidRPr="0069453B">
        <w:rPr>
          <w:rFonts w:ascii="Times New Roman" w:eastAsia="Times New Roman" w:hAnsi="Times New Roman" w:cs="Times New Roman"/>
          <w:b/>
          <w:color w:val="000000"/>
          <w:sz w:val="28"/>
          <w:szCs w:val="28"/>
          <w:lang w:eastAsia="uk-UA"/>
        </w:rPr>
        <w:t>рішенням селищної ради</w:t>
      </w:r>
    </w:p>
    <w:p w:rsidR="009104C5" w:rsidRDefault="009104C5" w:rsidP="009104C5">
      <w:pPr>
        <w:spacing w:after="0"/>
        <w:ind w:left="567" w:right="-457"/>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№1798/33/2024 від 23.07.</w:t>
      </w:r>
      <w:r w:rsidRPr="0069453B">
        <w:rPr>
          <w:rFonts w:ascii="Times New Roman" w:eastAsia="Times New Roman" w:hAnsi="Times New Roman" w:cs="Times New Roman"/>
          <w:b/>
          <w:color w:val="000000"/>
          <w:sz w:val="28"/>
          <w:szCs w:val="28"/>
          <w:lang w:eastAsia="uk-UA"/>
        </w:rPr>
        <w:t>2024 р.</w:t>
      </w:r>
    </w:p>
    <w:p w:rsidR="009104C5" w:rsidRPr="002C35DA" w:rsidRDefault="009104C5" w:rsidP="009104C5">
      <w:pPr>
        <w:spacing w:after="0"/>
        <w:ind w:left="567" w:right="-457"/>
        <w:jc w:val="both"/>
        <w:rPr>
          <w:rFonts w:ascii="Times New Roman" w:eastAsia="Times New Roman" w:hAnsi="Times New Roman" w:cs="Times New Roman"/>
          <w:b/>
          <w:color w:val="000000"/>
          <w:sz w:val="28"/>
          <w:szCs w:val="28"/>
          <w:lang w:eastAsia="uk-UA"/>
        </w:rPr>
      </w:pPr>
    </w:p>
    <w:p w:rsidR="009104C5" w:rsidRPr="002C35DA" w:rsidRDefault="009104C5" w:rsidP="009104C5">
      <w:pPr>
        <w:spacing w:after="100" w:afterAutospacing="1" w:line="240" w:lineRule="auto"/>
        <w:ind w:left="567" w:right="-457"/>
        <w:jc w:val="center"/>
        <w:rPr>
          <w:rFonts w:ascii="Times New Roman" w:eastAsia="Calibri" w:hAnsi="Times New Roman" w:cs="Times New Roman"/>
          <w:b/>
          <w:bCs/>
          <w:sz w:val="28"/>
          <w:szCs w:val="28"/>
        </w:rPr>
      </w:pPr>
      <w:r w:rsidRPr="002C35DA">
        <w:rPr>
          <w:rFonts w:ascii="Times New Roman" w:eastAsia="Calibri" w:hAnsi="Times New Roman" w:cs="Times New Roman"/>
          <w:b/>
          <w:bCs/>
          <w:sz w:val="28"/>
          <w:szCs w:val="28"/>
        </w:rPr>
        <w:t>ЕКОЛОГІЧНА ПРОГРАМА</w:t>
      </w:r>
      <w:r w:rsidRPr="002C35DA">
        <w:rPr>
          <w:rFonts w:ascii="Times New Roman" w:eastAsia="Calibri" w:hAnsi="Times New Roman" w:cs="Times New Roman"/>
          <w:b/>
          <w:bCs/>
          <w:sz w:val="28"/>
          <w:szCs w:val="28"/>
        </w:rPr>
        <w:br/>
        <w:t>СОЛОТВИНСЬКОЇ СЕЛИЩНОЇ РАДИ ТЕРИТОРІАЛЬНОЇ ГРОМАДИ</w:t>
      </w:r>
      <w:r w:rsidRPr="002C35DA">
        <w:rPr>
          <w:rFonts w:ascii="Times New Roman" w:eastAsia="Calibri" w:hAnsi="Times New Roman" w:cs="Times New Roman"/>
          <w:b/>
          <w:bCs/>
          <w:sz w:val="28"/>
          <w:szCs w:val="28"/>
        </w:rPr>
        <w:br/>
        <w:t>на 2024 - 2026</w:t>
      </w:r>
      <w:r>
        <w:rPr>
          <w:rFonts w:ascii="Times New Roman" w:eastAsia="Calibri" w:hAnsi="Times New Roman" w:cs="Times New Roman"/>
          <w:b/>
          <w:bCs/>
          <w:sz w:val="28"/>
          <w:szCs w:val="28"/>
        </w:rPr>
        <w:t xml:space="preserve"> роки</w:t>
      </w:r>
      <w:r w:rsidRPr="002C35DA">
        <w:rPr>
          <w:rFonts w:ascii="Times New Roman" w:eastAsia="Calibri" w:hAnsi="Times New Roman" w:cs="Times New Roman"/>
          <w:b/>
          <w:bCs/>
          <w:sz w:val="28"/>
          <w:szCs w:val="28"/>
        </w:rPr>
        <w:tab/>
      </w:r>
      <w:r w:rsidRPr="002C35DA">
        <w:rPr>
          <w:rFonts w:ascii="Times New Roman" w:eastAsia="Calibri" w:hAnsi="Times New Roman" w:cs="Times New Roman"/>
          <w:b/>
          <w:bCs/>
          <w:sz w:val="28"/>
          <w:szCs w:val="28"/>
        </w:rPr>
        <w:tab/>
      </w:r>
    </w:p>
    <w:p w:rsidR="009104C5" w:rsidRPr="002C35DA" w:rsidRDefault="009104C5" w:rsidP="009104C5">
      <w:pPr>
        <w:spacing w:after="100" w:afterAutospacing="1" w:line="240" w:lineRule="auto"/>
        <w:ind w:left="567" w:right="-457"/>
        <w:jc w:val="center"/>
        <w:rPr>
          <w:rFonts w:ascii="Times New Roman" w:eastAsia="Calibri" w:hAnsi="Times New Roman" w:cs="Times New Roman"/>
          <w:b/>
          <w:bCs/>
          <w:sz w:val="28"/>
          <w:szCs w:val="28"/>
        </w:rPr>
      </w:pPr>
      <w:r w:rsidRPr="002C35DA">
        <w:rPr>
          <w:rFonts w:ascii="Times New Roman" w:eastAsia="Calibri" w:hAnsi="Times New Roman" w:cs="Times New Roman"/>
          <w:b/>
          <w:bCs/>
          <w:sz w:val="28"/>
          <w:szCs w:val="28"/>
        </w:rPr>
        <w:t>1. ЗАГАЛЬНІ ПОЛОЖЕННЯ</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Програма охорони навколишнього природного середовища Солотвинської селищн</w:t>
      </w:r>
      <w:r w:rsidRPr="002C35DA">
        <w:rPr>
          <w:rFonts w:ascii="Times New Roman" w:eastAsia="Times New Roman" w:hAnsi="Times New Roman" w:cs="Times New Roman"/>
          <w:color w:val="000000"/>
          <w:sz w:val="28"/>
          <w:szCs w:val="28"/>
          <w:lang w:eastAsia="uk-UA"/>
        </w:rPr>
        <w:t>ої</w:t>
      </w:r>
      <w:r w:rsidRPr="002C35DA">
        <w:rPr>
          <w:rFonts w:ascii="Times New Roman" w:eastAsia="Calibri" w:hAnsi="Times New Roman" w:cs="Times New Roman"/>
          <w:sz w:val="28"/>
          <w:szCs w:val="28"/>
        </w:rPr>
        <w:t xml:space="preserve"> ради терит</w:t>
      </w:r>
      <w:r w:rsidRPr="002C35DA">
        <w:rPr>
          <w:rFonts w:ascii="Times New Roman" w:eastAsia="Times New Roman" w:hAnsi="Times New Roman" w:cs="Times New Roman"/>
          <w:color w:val="000000"/>
          <w:sz w:val="28"/>
          <w:szCs w:val="28"/>
          <w:lang w:eastAsia="uk-UA"/>
        </w:rPr>
        <w:t xml:space="preserve">оріальної  громади </w:t>
      </w:r>
      <w:r w:rsidRPr="002C35DA">
        <w:rPr>
          <w:rFonts w:ascii="Times New Roman" w:eastAsia="Calibri" w:hAnsi="Times New Roman" w:cs="Times New Roman"/>
          <w:sz w:val="28"/>
          <w:szCs w:val="28"/>
        </w:rPr>
        <w:t xml:space="preserve">на 2024 – 2026 роки (далі - Програма) розроблена відділом земельних ресурсів та екології, відділом комунальної власності, архітектури та містобудування ЖКГ  Солотвинської селищної ради територіальної громади відповідно до вимог Закону України «Про охорону навколишнього природного середовища» від 25.06.1991р, постанови Кабінету Міністрів України № 1147 «Про затвердження переліку видів діяльності, що належать до природоохоронних заходів». </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Підставою для розроблення Програми є існування певних екологічних проблем на підпорядковані території ради, розв'язання яких потребує залучення бюджетних коштів, координації спільних дій органу самоврядування, підприємств, установ, організацій та населення.</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Програма передбачає реалізацію ключових організаційно-технічних заходів, спрямованих на поліпшення стану навколишнього природного середовища. Реалізація завдань Програми є важливим елементом формування та реалізації екологічної політики України, спрямованої на сталий розвиток та інтеграцію у світове співтовариство.</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Перелік основних природоохоронних заходів Солотвинської селищної ради наведено в додатку 1.</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 МЕТА ПРОГРАМИ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Метою програми є покращення стану довкілля та забезпечення сталого розвитку громади. Програма спрямована на зменшення негативного впливу людської діяльності на природне середовище, збереження </w:t>
      </w:r>
      <w:proofErr w:type="spellStart"/>
      <w:r w:rsidRPr="002C35DA">
        <w:rPr>
          <w:rFonts w:ascii="Times New Roman" w:eastAsia="Times New Roman" w:hAnsi="Times New Roman" w:cs="Times New Roman"/>
          <w:color w:val="000000"/>
          <w:sz w:val="28"/>
          <w:szCs w:val="28"/>
          <w:lang w:eastAsia="uk-UA"/>
        </w:rPr>
        <w:t>біорізноманіття</w:t>
      </w:r>
      <w:proofErr w:type="spellEnd"/>
      <w:r w:rsidRPr="002C35DA">
        <w:rPr>
          <w:rFonts w:ascii="Times New Roman" w:eastAsia="Times New Roman" w:hAnsi="Times New Roman" w:cs="Times New Roman"/>
          <w:color w:val="000000"/>
          <w:sz w:val="28"/>
          <w:szCs w:val="28"/>
          <w:lang w:eastAsia="uk-UA"/>
        </w:rPr>
        <w:t>, забезпечення екологічної безпеки та здоров'я мешканців громади, а також на підвищення рівня екологічної свідомості та відповідальності громади перед майбутніми поколіннями.</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lastRenderedPageBreak/>
        <w:t>3. ФІЗИКО-ГЕОГРАФІЧНА ХАРАКТЕРИСТИКА СОЛОТВИНСЬКОЇ ГРОМАДИ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До Солотвинської територіальної громади входять 14 гірських населених пунктів, в центрі якого смт. Солотвин – адміністративний центр Солотвинської територіальної громади, що розташований на березі річки Бистриця Солотвинська в передгір’ї </w:t>
      </w:r>
      <w:proofErr w:type="spellStart"/>
      <w:r w:rsidRPr="002C35DA">
        <w:rPr>
          <w:rFonts w:ascii="Times New Roman" w:eastAsia="Times New Roman" w:hAnsi="Times New Roman" w:cs="Times New Roman"/>
          <w:sz w:val="28"/>
          <w:szCs w:val="28"/>
          <w:lang w:eastAsia="uk-UA"/>
        </w:rPr>
        <w:t>Ґорґанів</w:t>
      </w:r>
      <w:proofErr w:type="spellEnd"/>
      <w:r w:rsidRPr="002C35DA">
        <w:rPr>
          <w:rFonts w:ascii="Times New Roman" w:eastAsia="Times New Roman" w:hAnsi="Times New Roman" w:cs="Times New Roman"/>
          <w:sz w:val="28"/>
          <w:szCs w:val="28"/>
          <w:lang w:eastAsia="uk-UA"/>
        </w:rPr>
        <w:t xml:space="preserve">. У складі громади: смт. Солотвин, с. </w:t>
      </w:r>
      <w:proofErr w:type="spellStart"/>
      <w:r w:rsidRPr="002C35DA">
        <w:rPr>
          <w:rFonts w:ascii="Times New Roman" w:eastAsia="Times New Roman" w:hAnsi="Times New Roman" w:cs="Times New Roman"/>
          <w:sz w:val="28"/>
          <w:szCs w:val="28"/>
          <w:lang w:eastAsia="uk-UA"/>
        </w:rPr>
        <w:t>Бабче</w:t>
      </w:r>
      <w:proofErr w:type="spellEnd"/>
      <w:r w:rsidRPr="002C35DA">
        <w:rPr>
          <w:rFonts w:ascii="Times New Roman" w:eastAsia="Times New Roman" w:hAnsi="Times New Roman" w:cs="Times New Roman"/>
          <w:sz w:val="28"/>
          <w:szCs w:val="28"/>
          <w:lang w:eastAsia="uk-UA"/>
        </w:rPr>
        <w:t xml:space="preserve">, с. </w:t>
      </w:r>
      <w:proofErr w:type="spellStart"/>
      <w:r w:rsidRPr="002C35DA">
        <w:rPr>
          <w:rFonts w:ascii="Times New Roman" w:eastAsia="Times New Roman" w:hAnsi="Times New Roman" w:cs="Times New Roman"/>
          <w:sz w:val="28"/>
          <w:szCs w:val="28"/>
          <w:lang w:eastAsia="uk-UA"/>
        </w:rPr>
        <w:t>Богрівка</w:t>
      </w:r>
      <w:proofErr w:type="spellEnd"/>
      <w:r w:rsidRPr="002C35DA">
        <w:rPr>
          <w:rFonts w:ascii="Times New Roman" w:eastAsia="Times New Roman" w:hAnsi="Times New Roman" w:cs="Times New Roman"/>
          <w:sz w:val="28"/>
          <w:szCs w:val="28"/>
          <w:lang w:eastAsia="uk-UA"/>
        </w:rPr>
        <w:t xml:space="preserve">, с. Гута, с. Стара Гута, с. </w:t>
      </w:r>
      <w:proofErr w:type="spellStart"/>
      <w:r w:rsidRPr="002C35DA">
        <w:rPr>
          <w:rFonts w:ascii="Times New Roman" w:eastAsia="Times New Roman" w:hAnsi="Times New Roman" w:cs="Times New Roman"/>
          <w:sz w:val="28"/>
          <w:szCs w:val="28"/>
          <w:lang w:eastAsia="uk-UA"/>
        </w:rPr>
        <w:t>Кривець</w:t>
      </w:r>
      <w:proofErr w:type="spellEnd"/>
      <w:r w:rsidRPr="002C35DA">
        <w:rPr>
          <w:rFonts w:ascii="Times New Roman" w:eastAsia="Times New Roman" w:hAnsi="Times New Roman" w:cs="Times New Roman"/>
          <w:sz w:val="28"/>
          <w:szCs w:val="28"/>
          <w:lang w:eastAsia="uk-UA"/>
        </w:rPr>
        <w:t xml:space="preserve">, с. Кричка, с. </w:t>
      </w:r>
      <w:proofErr w:type="spellStart"/>
      <w:r w:rsidRPr="002C35DA">
        <w:rPr>
          <w:rFonts w:ascii="Times New Roman" w:eastAsia="Times New Roman" w:hAnsi="Times New Roman" w:cs="Times New Roman"/>
          <w:sz w:val="28"/>
          <w:szCs w:val="28"/>
          <w:lang w:eastAsia="uk-UA"/>
        </w:rPr>
        <w:t>Манява</w:t>
      </w:r>
      <w:proofErr w:type="spellEnd"/>
      <w:r w:rsidRPr="002C35DA">
        <w:rPr>
          <w:rFonts w:ascii="Times New Roman" w:eastAsia="Times New Roman" w:hAnsi="Times New Roman" w:cs="Times New Roman"/>
          <w:sz w:val="28"/>
          <w:szCs w:val="28"/>
          <w:lang w:eastAsia="uk-UA"/>
        </w:rPr>
        <w:t>, с. Бойки, с. Маркова, с. Монастирчани, с. Пороги, с. Раковець, с. Яблунька.</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Площа громади: 377,6 м</w:t>
      </w:r>
      <w:r w:rsidRPr="002C35DA">
        <w:rPr>
          <w:rFonts w:ascii="Times New Roman" w:eastAsia="Times New Roman" w:hAnsi="Times New Roman" w:cs="Times New Roman"/>
          <w:sz w:val="28"/>
          <w:szCs w:val="28"/>
          <w:vertAlign w:val="superscript"/>
          <w:lang w:eastAsia="uk-UA"/>
        </w:rPr>
        <w:t>2</w:t>
      </w:r>
      <w:r w:rsidRPr="002C35DA">
        <w:rPr>
          <w:rFonts w:ascii="Times New Roman" w:eastAsia="Times New Roman" w:hAnsi="Times New Roman" w:cs="Times New Roman"/>
          <w:sz w:val="28"/>
          <w:szCs w:val="28"/>
          <w:lang w:eastAsia="uk-UA"/>
        </w:rPr>
        <w:t xml:space="preserve">. Чисельність населення: 26 996 осіб. Згідно адміністративно територіального поділу Солотвинська селищна рада входить до Івано-Франківського району Івано-Франківської області. Солотвинська селищна рада межує з </w:t>
      </w:r>
      <w:proofErr w:type="spellStart"/>
      <w:r w:rsidRPr="002C35DA">
        <w:rPr>
          <w:rFonts w:ascii="Times New Roman" w:eastAsia="Times New Roman" w:hAnsi="Times New Roman" w:cs="Times New Roman"/>
          <w:sz w:val="28"/>
          <w:szCs w:val="28"/>
          <w:lang w:eastAsia="uk-UA"/>
        </w:rPr>
        <w:t>Дзвиняцькою</w:t>
      </w:r>
      <w:proofErr w:type="spellEnd"/>
      <w:r w:rsidRPr="002C35DA">
        <w:rPr>
          <w:rFonts w:ascii="Times New Roman" w:eastAsia="Times New Roman" w:hAnsi="Times New Roman" w:cs="Times New Roman"/>
          <w:sz w:val="28"/>
          <w:szCs w:val="28"/>
          <w:lang w:eastAsia="uk-UA"/>
        </w:rPr>
        <w:t xml:space="preserve"> територіальною громадою, </w:t>
      </w:r>
      <w:proofErr w:type="spellStart"/>
      <w:r w:rsidRPr="002C35DA">
        <w:rPr>
          <w:rFonts w:ascii="Times New Roman" w:eastAsia="Times New Roman" w:hAnsi="Times New Roman" w:cs="Times New Roman"/>
          <w:sz w:val="28"/>
          <w:szCs w:val="28"/>
          <w:lang w:eastAsia="uk-UA"/>
        </w:rPr>
        <w:t>Богородчанською</w:t>
      </w:r>
      <w:proofErr w:type="spellEnd"/>
      <w:r w:rsidRPr="002C35DA">
        <w:rPr>
          <w:rFonts w:ascii="Times New Roman" w:eastAsia="Times New Roman" w:hAnsi="Times New Roman" w:cs="Times New Roman"/>
          <w:sz w:val="28"/>
          <w:szCs w:val="28"/>
          <w:lang w:eastAsia="uk-UA"/>
        </w:rPr>
        <w:t xml:space="preserve"> територіальною громадою, </w:t>
      </w:r>
      <w:proofErr w:type="spellStart"/>
      <w:r w:rsidRPr="002C35DA">
        <w:rPr>
          <w:rFonts w:ascii="Times New Roman" w:eastAsia="Times New Roman" w:hAnsi="Times New Roman" w:cs="Times New Roman"/>
          <w:sz w:val="28"/>
          <w:szCs w:val="28"/>
          <w:lang w:eastAsia="uk-UA"/>
        </w:rPr>
        <w:t>Надвірнянською</w:t>
      </w:r>
      <w:proofErr w:type="spellEnd"/>
      <w:r w:rsidRPr="002C35DA">
        <w:rPr>
          <w:rFonts w:ascii="Times New Roman" w:eastAsia="Times New Roman" w:hAnsi="Times New Roman" w:cs="Times New Roman"/>
          <w:sz w:val="28"/>
          <w:szCs w:val="28"/>
          <w:lang w:eastAsia="uk-UA"/>
        </w:rPr>
        <w:t xml:space="preserve"> міською територіальною громадою.</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Населені пункти набувають статусу гірських за умови розташування на висоті 400 метрів і вище над рівнем моря, відповідності двом критеріям та не менш як двом показникам третього критерію «суворі кліматичні умови». </w:t>
      </w:r>
      <w:r w:rsidRPr="002C35DA">
        <w:rPr>
          <w:rFonts w:ascii="Times New Roman" w:eastAsia="Times New Roman" w:hAnsi="Times New Roman" w:cs="Times New Roman"/>
          <w:color w:val="000000"/>
          <w:sz w:val="28"/>
          <w:szCs w:val="28"/>
          <w:lang w:eastAsia="uk-UA"/>
        </w:rPr>
        <w:t>Інформації щодо населених пунктів, яким надано статус гірських на терит</w:t>
      </w:r>
      <w:r w:rsidRPr="002C35DA">
        <w:rPr>
          <w:rFonts w:ascii="Times New Roman" w:eastAsia="Times New Roman" w:hAnsi="Times New Roman" w:cs="Times New Roman"/>
          <w:sz w:val="28"/>
          <w:szCs w:val="28"/>
          <w:lang w:eastAsia="uk-UA"/>
        </w:rPr>
        <w:t>орії Солотвинської громади:</w:t>
      </w:r>
    </w:p>
    <w:p w:rsidR="009104C5" w:rsidRPr="002C35DA" w:rsidRDefault="009104C5" w:rsidP="009104C5">
      <w:pPr>
        <w:spacing w:after="100" w:afterAutospacing="1" w:line="240" w:lineRule="auto"/>
        <w:ind w:left="567" w:right="-457"/>
        <w:jc w:val="right"/>
        <w:rPr>
          <w:rFonts w:ascii="Times New Roman" w:eastAsia="Times New Roman" w:hAnsi="Times New Roman" w:cs="Times New Roman"/>
          <w:i/>
          <w:iCs/>
          <w:sz w:val="28"/>
          <w:szCs w:val="28"/>
          <w:lang w:eastAsia="uk-UA"/>
        </w:rPr>
      </w:pPr>
      <w:r w:rsidRPr="002C35DA">
        <w:rPr>
          <w:rFonts w:ascii="Times New Roman" w:eastAsia="Times New Roman" w:hAnsi="Times New Roman" w:cs="Times New Roman"/>
          <w:i/>
          <w:iCs/>
          <w:sz w:val="28"/>
          <w:szCs w:val="28"/>
          <w:lang w:eastAsia="uk-UA"/>
        </w:rPr>
        <w:t xml:space="preserve">Таблиця 1. Інформація щодо населених пунктів, </w:t>
      </w:r>
      <w:r w:rsidRPr="002C35DA">
        <w:rPr>
          <w:rFonts w:ascii="Times New Roman" w:eastAsia="Times New Roman" w:hAnsi="Times New Roman" w:cs="Times New Roman"/>
          <w:i/>
          <w:iCs/>
          <w:sz w:val="28"/>
          <w:szCs w:val="28"/>
          <w:lang w:eastAsia="uk-UA"/>
        </w:rPr>
        <w:br/>
        <w:t>яким надано статус гірських</w:t>
      </w:r>
    </w:p>
    <w:tbl>
      <w:tblPr>
        <w:tblStyle w:val="a3"/>
        <w:tblW w:w="0" w:type="auto"/>
        <w:tblLook w:val="04A0" w:firstRow="1" w:lastRow="0" w:firstColumn="1" w:lastColumn="0" w:noHBand="0" w:noVBand="1"/>
      </w:tblPr>
      <w:tblGrid>
        <w:gridCol w:w="3209"/>
        <w:gridCol w:w="3210"/>
        <w:gridCol w:w="3210"/>
      </w:tblGrid>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Населений пункт</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4"/>
                <w:szCs w:val="24"/>
                <w:lang w:eastAsia="uk-UA"/>
              </w:rPr>
              <w:t xml:space="preserve">Загальна площа території населених пунктів, яким надано статус гірських, </w:t>
            </w:r>
            <w:r w:rsidRPr="002C35DA">
              <w:rPr>
                <w:rFonts w:ascii="Times New Roman" w:eastAsia="Times New Roman" w:hAnsi="Times New Roman" w:cs="Times New Roman"/>
                <w:sz w:val="24"/>
                <w:szCs w:val="24"/>
                <w:lang w:eastAsia="uk-UA"/>
              </w:rPr>
              <w:br/>
            </w:r>
            <w:proofErr w:type="spellStart"/>
            <w:r w:rsidRPr="002C35DA">
              <w:rPr>
                <w:rFonts w:ascii="Times New Roman" w:eastAsia="Times New Roman" w:hAnsi="Times New Roman" w:cs="Times New Roman"/>
                <w:sz w:val="24"/>
                <w:szCs w:val="24"/>
                <w:lang w:eastAsia="uk-UA"/>
              </w:rPr>
              <w:t>кв.км</w:t>
            </w:r>
            <w:proofErr w:type="spellEnd"/>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4"/>
                <w:szCs w:val="24"/>
                <w:lang w:eastAsia="uk-UA"/>
              </w:rPr>
              <w:t>В тому числі в межах населених пунктів, яким надано статус гірських,</w:t>
            </w:r>
            <w:r w:rsidRPr="002C35DA">
              <w:rPr>
                <w:rFonts w:ascii="Times New Roman" w:eastAsia="Times New Roman" w:hAnsi="Times New Roman" w:cs="Times New Roman"/>
                <w:sz w:val="24"/>
                <w:szCs w:val="24"/>
                <w:lang w:eastAsia="uk-UA"/>
              </w:rPr>
              <w:br/>
              <w:t xml:space="preserve"> </w:t>
            </w:r>
            <w:proofErr w:type="spellStart"/>
            <w:r w:rsidRPr="002C35DA">
              <w:rPr>
                <w:rFonts w:ascii="Times New Roman" w:eastAsia="Times New Roman" w:hAnsi="Times New Roman" w:cs="Times New Roman"/>
                <w:sz w:val="24"/>
                <w:szCs w:val="24"/>
                <w:lang w:eastAsia="uk-UA"/>
              </w:rPr>
              <w:t>кв.км</w:t>
            </w:r>
            <w:proofErr w:type="spellEnd"/>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смт. Солотвин</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18,950</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7,344</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с. </w:t>
            </w:r>
            <w:proofErr w:type="spellStart"/>
            <w:r w:rsidRPr="002C35DA">
              <w:rPr>
                <w:rFonts w:ascii="Times New Roman" w:eastAsia="Times New Roman" w:hAnsi="Times New Roman" w:cs="Times New Roman"/>
                <w:color w:val="000000"/>
                <w:sz w:val="28"/>
                <w:szCs w:val="28"/>
                <w:lang w:eastAsia="uk-UA"/>
              </w:rPr>
              <w:t>Бабче</w:t>
            </w:r>
            <w:proofErr w:type="spellEnd"/>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17,429</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7,9761</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с. </w:t>
            </w:r>
            <w:proofErr w:type="spellStart"/>
            <w:r w:rsidRPr="002C35DA">
              <w:rPr>
                <w:rFonts w:ascii="Times New Roman" w:eastAsia="Times New Roman" w:hAnsi="Times New Roman" w:cs="Times New Roman"/>
                <w:color w:val="000000"/>
                <w:sz w:val="28"/>
                <w:szCs w:val="28"/>
                <w:lang w:eastAsia="uk-UA"/>
              </w:rPr>
              <w:t>Богрівка</w:t>
            </w:r>
            <w:proofErr w:type="spellEnd"/>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9,968</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3,963</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Гута</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153,236</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3,4286</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Стара Гута</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10,2899</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с. </w:t>
            </w:r>
            <w:proofErr w:type="spellStart"/>
            <w:r w:rsidRPr="002C35DA">
              <w:rPr>
                <w:rFonts w:ascii="Times New Roman" w:eastAsia="Times New Roman" w:hAnsi="Times New Roman" w:cs="Times New Roman"/>
                <w:color w:val="000000"/>
                <w:sz w:val="28"/>
                <w:szCs w:val="28"/>
                <w:lang w:eastAsia="uk-UA"/>
              </w:rPr>
              <w:t>Кривець</w:t>
            </w:r>
            <w:proofErr w:type="spellEnd"/>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14,884</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4,114</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Кричка</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26,5246</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5,708</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с. </w:t>
            </w:r>
            <w:proofErr w:type="spellStart"/>
            <w:r w:rsidRPr="002C35DA">
              <w:rPr>
                <w:rFonts w:ascii="Times New Roman" w:eastAsia="Times New Roman" w:hAnsi="Times New Roman" w:cs="Times New Roman"/>
                <w:color w:val="000000"/>
                <w:sz w:val="28"/>
                <w:szCs w:val="28"/>
                <w:lang w:eastAsia="uk-UA"/>
              </w:rPr>
              <w:t>Манява</w:t>
            </w:r>
            <w:proofErr w:type="spellEnd"/>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43,62</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14,55</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Бойки</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0,356</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Маркова</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14,10</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8,843</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Монастирчани</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11,857</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3,967</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Пороги</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40,866</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11,110</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Раковець</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8,10</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5,6188</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 Яблунька</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17,3954</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7,335</w:t>
            </w:r>
          </w:p>
        </w:tc>
      </w:tr>
      <w:tr w:rsidR="009104C5" w:rsidRPr="002C35DA" w:rsidTr="00341D6D">
        <w:tc>
          <w:tcPr>
            <w:tcW w:w="3209"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Всього по громаді</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376,93</w:t>
            </w:r>
          </w:p>
        </w:tc>
        <w:tc>
          <w:tcPr>
            <w:tcW w:w="321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94,6034</w:t>
            </w:r>
          </w:p>
        </w:tc>
      </w:tr>
    </w:tbl>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lastRenderedPageBreak/>
        <w:t>3.1 Кліматичні умови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Клімат має перехідний характер – від теплого вологого західноєвропейського до континентального східноєвропейського з характерною вертикальною біокліматичною поясністю. Кліматичні умови області відрізняються значною різноманітністю, що обумовлено не тільки складністю її рельєфу (гори, рівнини, річкові долини, пересічені ярами і балками, </w:t>
      </w:r>
      <w:proofErr w:type="spellStart"/>
      <w:r w:rsidRPr="002C35DA">
        <w:rPr>
          <w:rFonts w:ascii="Times New Roman" w:eastAsia="Times New Roman" w:hAnsi="Times New Roman" w:cs="Times New Roman"/>
          <w:sz w:val="28"/>
          <w:szCs w:val="28"/>
          <w:lang w:eastAsia="uk-UA"/>
        </w:rPr>
        <w:t>підвищеності</w:t>
      </w:r>
      <w:proofErr w:type="spellEnd"/>
      <w:r w:rsidRPr="002C35DA">
        <w:rPr>
          <w:rFonts w:ascii="Times New Roman" w:eastAsia="Times New Roman" w:hAnsi="Times New Roman" w:cs="Times New Roman"/>
          <w:sz w:val="28"/>
          <w:szCs w:val="28"/>
          <w:lang w:eastAsia="uk-UA"/>
        </w:rPr>
        <w:t xml:space="preserve">), але і наявністю тут великих лісових масивів. Важливим </w:t>
      </w:r>
      <w:proofErr w:type="spellStart"/>
      <w:r w:rsidRPr="002C35DA">
        <w:rPr>
          <w:rFonts w:ascii="Times New Roman" w:eastAsia="Times New Roman" w:hAnsi="Times New Roman" w:cs="Times New Roman"/>
          <w:sz w:val="28"/>
          <w:szCs w:val="28"/>
          <w:lang w:eastAsia="uk-UA"/>
        </w:rPr>
        <w:t>кліматоутворюючим</w:t>
      </w:r>
      <w:proofErr w:type="spellEnd"/>
      <w:r w:rsidRPr="002C35DA">
        <w:rPr>
          <w:rFonts w:ascii="Times New Roman" w:eastAsia="Times New Roman" w:hAnsi="Times New Roman" w:cs="Times New Roman"/>
          <w:sz w:val="28"/>
          <w:szCs w:val="28"/>
          <w:lang w:eastAsia="uk-UA"/>
        </w:rPr>
        <w:t xml:space="preserve"> фактором на території області є рельєф.</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Гори впливають на температурний режим, на збільшення опадів, вологості, хмарності тощо. Ліс, який займає близько третини території гр</w:t>
      </w:r>
      <w:r w:rsidRPr="002C35DA">
        <w:rPr>
          <w:rFonts w:ascii="Times New Roman" w:eastAsia="Times New Roman" w:hAnsi="Times New Roman" w:cs="Times New Roman"/>
          <w:color w:val="000000"/>
          <w:sz w:val="28"/>
          <w:szCs w:val="28"/>
          <w:lang w:eastAsia="uk-UA"/>
        </w:rPr>
        <w:t>омади</w:t>
      </w:r>
      <w:r w:rsidRPr="002C35DA">
        <w:rPr>
          <w:rFonts w:ascii="Times New Roman" w:eastAsia="Times New Roman" w:hAnsi="Times New Roman" w:cs="Times New Roman"/>
          <w:sz w:val="28"/>
          <w:szCs w:val="28"/>
          <w:lang w:eastAsia="uk-UA"/>
        </w:rPr>
        <w:t xml:space="preserve"> також значно впливає на характер клімату. Він пом’якшує температурний режим, підвищує вологість повітря, ґрунту, уповільнює танення снігу, зменшує швидкість вітру. Значний вплив на формування клімату має атмосферна циркуляція.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На схилах Карпат сніг лежить понад 5 місяців на рік. Тривалість залягання стійкого снігового покрову складає 100-110 днів. Річна кількість опадів коливалася від 645,2 мм на рівнині до 1890,8 мм у високогір’ї. У фізико-географічному плані територія Солотвинської громади неоднорідна і поділяється на три ландшафтні зони: рівнинна, передгірська та гірська. Її найвища точка - гора Велика </w:t>
      </w:r>
      <w:proofErr w:type="spellStart"/>
      <w:r w:rsidRPr="002C35DA">
        <w:rPr>
          <w:rFonts w:ascii="Times New Roman" w:eastAsia="Times New Roman" w:hAnsi="Times New Roman" w:cs="Times New Roman"/>
          <w:sz w:val="28"/>
          <w:szCs w:val="28"/>
          <w:lang w:eastAsia="uk-UA"/>
        </w:rPr>
        <w:t>Сивуля</w:t>
      </w:r>
      <w:proofErr w:type="spellEnd"/>
      <w:r w:rsidRPr="002C35DA">
        <w:rPr>
          <w:rFonts w:ascii="Times New Roman" w:eastAsia="Times New Roman" w:hAnsi="Times New Roman" w:cs="Times New Roman"/>
          <w:sz w:val="28"/>
          <w:szCs w:val="28"/>
          <w:lang w:eastAsia="uk-UA"/>
        </w:rPr>
        <w:t>, що має висоту 1836 м.</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Клімат громади — помірно-континентальний, вологий з прохолодним літом та м'якою зимою. Середня температура липня у рівнинній частині +18°C, у гірській — від +12 до +16 °C, середньо січнева відповідно -4 до -6 °C. У горах клімат холодніший. Опадів випадає: у Передкарпатті – 600-800 мм на рік, у горах – 1400 мм. Улітку часто випадають великі дощі, що спричиняють катастрофічні повені.</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3.2 Атмосферне повітря</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Викиди забруднюючих речовин в атмосферне повітря за даними Головного управління статистики в Івано-Франківській області у 2022 році викиди забруднюючих речовин в атмосферне повітря від стаціонарних джерел становили 152,3 тис. т, які в порівняні з попереднім роком зменшилися на 11,6%. Значний вклад у забруднення атмосферного повітря вносить </w:t>
      </w:r>
      <w:proofErr w:type="spellStart"/>
      <w:r w:rsidRPr="002C35DA">
        <w:rPr>
          <w:rFonts w:ascii="Times New Roman" w:eastAsia="Times New Roman" w:hAnsi="Times New Roman" w:cs="Times New Roman"/>
          <w:sz w:val="28"/>
          <w:szCs w:val="28"/>
          <w:lang w:eastAsia="uk-UA"/>
        </w:rPr>
        <w:t>діоксид</w:t>
      </w:r>
      <w:proofErr w:type="spellEnd"/>
      <w:r w:rsidRPr="002C35DA">
        <w:rPr>
          <w:rFonts w:ascii="Times New Roman" w:eastAsia="Times New Roman" w:hAnsi="Times New Roman" w:cs="Times New Roman"/>
          <w:sz w:val="28"/>
          <w:szCs w:val="28"/>
          <w:lang w:eastAsia="uk-UA"/>
        </w:rPr>
        <w:t xml:space="preserve"> вуглецю якого надійшло 10,1 </w:t>
      </w:r>
      <w:proofErr w:type="spellStart"/>
      <w:r w:rsidRPr="002C35DA">
        <w:rPr>
          <w:rFonts w:ascii="Times New Roman" w:eastAsia="Times New Roman" w:hAnsi="Times New Roman" w:cs="Times New Roman"/>
          <w:sz w:val="28"/>
          <w:szCs w:val="28"/>
          <w:lang w:eastAsia="uk-UA"/>
        </w:rPr>
        <w:t>млн</w:t>
      </w:r>
      <w:proofErr w:type="spellEnd"/>
      <w:r w:rsidRPr="002C35DA">
        <w:rPr>
          <w:rFonts w:ascii="Times New Roman" w:eastAsia="Times New Roman" w:hAnsi="Times New Roman" w:cs="Times New Roman"/>
          <w:sz w:val="28"/>
          <w:szCs w:val="28"/>
          <w:lang w:eastAsia="uk-UA"/>
        </w:rPr>
        <w:t xml:space="preserve"> т (на 15,8% менше порівняно з 2021 роком) – основного парникового газу, який впливає на зміну клімату.</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За даними Головного управління статистики в Івано-Франківській області у структурі викидів забруднюючих речовин у 2022 році переважали </w:t>
      </w:r>
      <w:proofErr w:type="spellStart"/>
      <w:r w:rsidRPr="002C35DA">
        <w:rPr>
          <w:rFonts w:ascii="Times New Roman" w:eastAsia="Times New Roman" w:hAnsi="Times New Roman" w:cs="Times New Roman"/>
          <w:sz w:val="28"/>
          <w:szCs w:val="28"/>
          <w:lang w:eastAsia="uk-UA"/>
        </w:rPr>
        <w:t>діоксид</w:t>
      </w:r>
      <w:proofErr w:type="spellEnd"/>
      <w:r w:rsidRPr="002C35DA">
        <w:rPr>
          <w:rFonts w:ascii="Times New Roman" w:eastAsia="Times New Roman" w:hAnsi="Times New Roman" w:cs="Times New Roman"/>
          <w:sz w:val="28"/>
          <w:szCs w:val="28"/>
          <w:lang w:eastAsia="uk-UA"/>
        </w:rPr>
        <w:t xml:space="preserve"> та інші сполуки сірки – 104884,9 тонни речовини, зокрема найвищий показник становив в Івано-Франківському районі – 103487,9 тонни, найменший обсяг викидів в області встановлено по оксиду вуглецю – 2880,8 тонни.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lastRenderedPageBreak/>
        <w:t xml:space="preserve">На території громади відсутні підприємства, які відіграють домінуючу роль в забрудненні атмосферного повітря. Проте масове використання як у приватних домогосподарствах, так і в установах, організаціях та підприємствах громади таких видів палива, як дрова, торф, вугілля підвищують рівень забруднення атмосферного повітря особливо в опалювальні сезони. </w:t>
      </w:r>
    </w:p>
    <w:p w:rsidR="009104C5" w:rsidRPr="002C35DA" w:rsidRDefault="009104C5" w:rsidP="009104C5">
      <w:pPr>
        <w:spacing w:after="100" w:afterAutospacing="1" w:line="240" w:lineRule="auto"/>
        <w:ind w:left="567" w:right="-457"/>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Стан радіаційного забруднення атмосферного повітря:</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Радіаційний фон на території Івано-Франківської області у 2023 році вимірювався Івано-Франківським обласним центром гідрометеорології на п’яти метеостанціях: Івано-Франківськ, Долина, Коломия, Яремче та </w:t>
      </w:r>
      <w:proofErr w:type="spellStart"/>
      <w:r w:rsidRPr="002C35DA">
        <w:rPr>
          <w:rFonts w:ascii="Times New Roman" w:eastAsia="Times New Roman" w:hAnsi="Times New Roman" w:cs="Times New Roman"/>
          <w:sz w:val="28"/>
          <w:szCs w:val="28"/>
          <w:lang w:eastAsia="uk-UA"/>
        </w:rPr>
        <w:t>Пожижевська</w:t>
      </w:r>
      <w:proofErr w:type="spellEnd"/>
      <w:r w:rsidRPr="002C35DA">
        <w:rPr>
          <w:rFonts w:ascii="Times New Roman" w:eastAsia="Times New Roman" w:hAnsi="Times New Roman" w:cs="Times New Roman"/>
          <w:sz w:val="28"/>
          <w:szCs w:val="28"/>
          <w:lang w:eastAsia="uk-UA"/>
        </w:rPr>
        <w:t xml:space="preserve">. Загальні показники радіоактивного забруднення атмосферного повітря на території області за 2023 рік не перевищують рівень природного гамма-фону, в порівнянні з попереднім роком ці величини суттєво не змінилися. </w:t>
      </w:r>
    </w:p>
    <w:p w:rsidR="009104C5" w:rsidRPr="002C35DA" w:rsidRDefault="009104C5" w:rsidP="009104C5">
      <w:pPr>
        <w:spacing w:after="100" w:afterAutospacing="1" w:line="240" w:lineRule="auto"/>
        <w:ind w:left="567" w:right="-457"/>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Транскордонне забруднення атмосферного повітря:</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Значною мірою на стан атмосферного повітря впливають транскордонні перенесення шкідливих речовин з країн центральної Європи, однак, відсутність мереж постів контролю не дає можливості реально оцінити величину впливу транскордонних забруднень на загальний стан атмосферного повітря області. </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3.3 Водні ресурси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Головними водними артеріями громади є: річка Бистриця Солотвинська (в межах </w:t>
      </w:r>
      <w:proofErr w:type="spellStart"/>
      <w:r w:rsidRPr="002C35DA">
        <w:rPr>
          <w:rFonts w:ascii="Times New Roman" w:eastAsia="Times New Roman" w:hAnsi="Times New Roman" w:cs="Times New Roman"/>
          <w:sz w:val="28"/>
          <w:szCs w:val="28"/>
          <w:lang w:eastAsia="uk-UA"/>
        </w:rPr>
        <w:t>Богородчанського</w:t>
      </w:r>
      <w:proofErr w:type="spellEnd"/>
      <w:r w:rsidRPr="002C35DA">
        <w:rPr>
          <w:rFonts w:ascii="Times New Roman" w:eastAsia="Times New Roman" w:hAnsi="Times New Roman" w:cs="Times New Roman"/>
          <w:sz w:val="28"/>
          <w:szCs w:val="28"/>
          <w:lang w:eastAsia="uk-UA"/>
        </w:rPr>
        <w:t xml:space="preserve"> і Тисменицького районів Івано-Франківської області) та річка </w:t>
      </w:r>
      <w:proofErr w:type="spellStart"/>
      <w:r w:rsidRPr="002C35DA">
        <w:rPr>
          <w:rFonts w:ascii="Times New Roman" w:eastAsia="Times New Roman" w:hAnsi="Times New Roman" w:cs="Times New Roman"/>
          <w:sz w:val="28"/>
          <w:szCs w:val="28"/>
          <w:lang w:eastAsia="uk-UA"/>
        </w:rPr>
        <w:t>Манявка</w:t>
      </w:r>
      <w:proofErr w:type="spellEnd"/>
      <w:r w:rsidRPr="002C35DA">
        <w:rPr>
          <w:rFonts w:ascii="Times New Roman" w:eastAsia="Times New Roman" w:hAnsi="Times New Roman" w:cs="Times New Roman"/>
          <w:sz w:val="28"/>
          <w:szCs w:val="28"/>
          <w:lang w:eastAsia="uk-UA"/>
        </w:rPr>
        <w:t xml:space="preserve">. Долина </w:t>
      </w:r>
      <w:proofErr w:type="spellStart"/>
      <w:r w:rsidRPr="002C35DA">
        <w:rPr>
          <w:rFonts w:ascii="Times New Roman" w:eastAsia="Times New Roman" w:hAnsi="Times New Roman" w:cs="Times New Roman"/>
          <w:sz w:val="28"/>
          <w:szCs w:val="28"/>
          <w:lang w:eastAsia="uk-UA"/>
        </w:rPr>
        <w:t>слабозвивиста</w:t>
      </w:r>
      <w:proofErr w:type="spellEnd"/>
      <w:r w:rsidRPr="002C35DA">
        <w:rPr>
          <w:rFonts w:ascii="Times New Roman" w:eastAsia="Times New Roman" w:hAnsi="Times New Roman" w:cs="Times New Roman"/>
          <w:sz w:val="28"/>
          <w:szCs w:val="28"/>
          <w:lang w:eastAsia="uk-UA"/>
        </w:rPr>
        <w:t xml:space="preserve">, на перших 5 км є вузькою ущелиною з дном завширшки 3-15 м, з високими, майже прямовисними схилами.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Від села Пороги долина V-подібна, завширшки 0,1 – 0,5 км, з дуже розчленованими крутими та дуже крутими схилами, нижче значно розширюється (1 – 3 км), стає трапецієподібна, з помірно крутими й пологими схилами заввишки 5 – 10 м; біля селища Солотвина досягає 2 км. У межах Бистрицької улоговини долина дуже широка, її лівий берег високий, крутий, порізаний ярами і численними невеликими долинами – лівими притоками річки. Схили переважно покриті лісом. Правий берег, навпаки, більш пологий і невисокий, майже суцільно розораний і заселений. Заплава двостороння, що часто чергується по берегах, її ширина від 50 м до 1,7 км, переважно низька (0,5 – 1,3 м), суха, лугова, здебільшого розорана, місцями поросла лісом, вербовими і вільховими чагарниками, складена </w:t>
      </w:r>
      <w:proofErr w:type="spellStart"/>
      <w:r w:rsidRPr="002C35DA">
        <w:rPr>
          <w:rFonts w:ascii="Times New Roman" w:eastAsia="Times New Roman" w:hAnsi="Times New Roman" w:cs="Times New Roman"/>
          <w:sz w:val="28"/>
          <w:szCs w:val="28"/>
          <w:lang w:eastAsia="uk-UA"/>
        </w:rPr>
        <w:t>піщаногальковими</w:t>
      </w:r>
      <w:proofErr w:type="spellEnd"/>
      <w:r w:rsidRPr="002C35DA">
        <w:rPr>
          <w:rFonts w:ascii="Times New Roman" w:eastAsia="Times New Roman" w:hAnsi="Times New Roman" w:cs="Times New Roman"/>
          <w:sz w:val="28"/>
          <w:szCs w:val="28"/>
          <w:lang w:eastAsia="uk-UA"/>
        </w:rPr>
        <w:t xml:space="preserve"> і гальково-каменистими ґрунтами.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Бистриця Солотвинська бере початок з джерел при підніжжі гір Малої </w:t>
      </w:r>
      <w:proofErr w:type="spellStart"/>
      <w:r w:rsidRPr="002C35DA">
        <w:rPr>
          <w:rFonts w:ascii="Times New Roman" w:eastAsia="Times New Roman" w:hAnsi="Times New Roman" w:cs="Times New Roman"/>
          <w:sz w:val="28"/>
          <w:szCs w:val="28"/>
          <w:lang w:eastAsia="uk-UA"/>
        </w:rPr>
        <w:t>Сивулі</w:t>
      </w:r>
      <w:proofErr w:type="spellEnd"/>
      <w:r w:rsidRPr="002C35DA">
        <w:rPr>
          <w:rFonts w:ascii="Times New Roman" w:eastAsia="Times New Roman" w:hAnsi="Times New Roman" w:cs="Times New Roman"/>
          <w:sz w:val="28"/>
          <w:szCs w:val="28"/>
          <w:lang w:eastAsia="uk-UA"/>
        </w:rPr>
        <w:t xml:space="preserve"> і </w:t>
      </w:r>
      <w:proofErr w:type="spellStart"/>
      <w:r w:rsidRPr="002C35DA">
        <w:rPr>
          <w:rFonts w:ascii="Times New Roman" w:eastAsia="Times New Roman" w:hAnsi="Times New Roman" w:cs="Times New Roman"/>
          <w:sz w:val="28"/>
          <w:szCs w:val="28"/>
          <w:lang w:eastAsia="uk-UA"/>
        </w:rPr>
        <w:t>Бистрика</w:t>
      </w:r>
      <w:proofErr w:type="spellEnd"/>
      <w:r w:rsidRPr="002C35DA">
        <w:rPr>
          <w:rFonts w:ascii="Times New Roman" w:eastAsia="Times New Roman" w:hAnsi="Times New Roman" w:cs="Times New Roman"/>
          <w:sz w:val="28"/>
          <w:szCs w:val="28"/>
          <w:lang w:eastAsia="uk-UA"/>
        </w:rPr>
        <w:t xml:space="preserve">, неподалік від урвища Пекло, в найвищій частині </w:t>
      </w:r>
      <w:proofErr w:type="spellStart"/>
      <w:r w:rsidRPr="002C35DA">
        <w:rPr>
          <w:rFonts w:ascii="Times New Roman" w:eastAsia="Times New Roman" w:hAnsi="Times New Roman" w:cs="Times New Roman"/>
          <w:sz w:val="28"/>
          <w:szCs w:val="28"/>
          <w:lang w:eastAsia="uk-UA"/>
        </w:rPr>
        <w:t>Ґорґан</w:t>
      </w:r>
      <w:proofErr w:type="spellEnd"/>
      <w:r w:rsidRPr="002C35DA">
        <w:rPr>
          <w:rFonts w:ascii="Times New Roman" w:eastAsia="Times New Roman" w:hAnsi="Times New Roman" w:cs="Times New Roman"/>
          <w:sz w:val="28"/>
          <w:szCs w:val="28"/>
          <w:lang w:eastAsia="uk-UA"/>
        </w:rPr>
        <w:t xml:space="preserve">, на висоті 1390 м. Довжина річки складає 84 км. На річці та її притоках розташовані </w:t>
      </w:r>
      <w:r w:rsidRPr="002C35DA">
        <w:rPr>
          <w:rFonts w:ascii="Times New Roman" w:eastAsia="Times New Roman" w:hAnsi="Times New Roman" w:cs="Times New Roman"/>
          <w:sz w:val="28"/>
          <w:szCs w:val="28"/>
          <w:lang w:eastAsia="uk-UA"/>
        </w:rPr>
        <w:lastRenderedPageBreak/>
        <w:t xml:space="preserve">чисельні пороги та водоспади: Малий </w:t>
      </w:r>
      <w:proofErr w:type="spellStart"/>
      <w:r w:rsidRPr="002C35DA">
        <w:rPr>
          <w:rFonts w:ascii="Times New Roman" w:eastAsia="Times New Roman" w:hAnsi="Times New Roman" w:cs="Times New Roman"/>
          <w:sz w:val="28"/>
          <w:szCs w:val="28"/>
          <w:lang w:eastAsia="uk-UA"/>
        </w:rPr>
        <w:t>Кузьминець</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Раковецький</w:t>
      </w:r>
      <w:proofErr w:type="spellEnd"/>
      <w:r w:rsidRPr="002C35DA">
        <w:rPr>
          <w:rFonts w:ascii="Times New Roman" w:eastAsia="Times New Roman" w:hAnsi="Times New Roman" w:cs="Times New Roman"/>
          <w:sz w:val="28"/>
          <w:szCs w:val="28"/>
          <w:lang w:eastAsia="uk-UA"/>
        </w:rPr>
        <w:t>, , Під Комином, Під Комином верхній, інші.</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Річка </w:t>
      </w:r>
      <w:proofErr w:type="spellStart"/>
      <w:r w:rsidRPr="002C35DA">
        <w:rPr>
          <w:rFonts w:ascii="Times New Roman" w:eastAsia="Times New Roman" w:hAnsi="Times New Roman" w:cs="Times New Roman"/>
          <w:sz w:val="28"/>
          <w:szCs w:val="28"/>
          <w:lang w:eastAsia="uk-UA"/>
        </w:rPr>
        <w:t>Манявка</w:t>
      </w:r>
      <w:proofErr w:type="spellEnd"/>
      <w:r w:rsidRPr="002C35DA">
        <w:rPr>
          <w:rFonts w:ascii="Times New Roman" w:eastAsia="Times New Roman" w:hAnsi="Times New Roman" w:cs="Times New Roman"/>
          <w:sz w:val="28"/>
          <w:szCs w:val="28"/>
          <w:lang w:eastAsia="uk-UA"/>
        </w:rPr>
        <w:t xml:space="preserve"> – права притока Бистриці Солотвинської. Бере початок на південно-східних схилах хребта </w:t>
      </w:r>
      <w:proofErr w:type="spellStart"/>
      <w:r w:rsidRPr="002C35DA">
        <w:rPr>
          <w:rFonts w:ascii="Times New Roman" w:eastAsia="Times New Roman" w:hAnsi="Times New Roman" w:cs="Times New Roman"/>
          <w:sz w:val="28"/>
          <w:szCs w:val="28"/>
          <w:lang w:eastAsia="uk-UA"/>
        </w:rPr>
        <w:t>Чортка</w:t>
      </w:r>
      <w:proofErr w:type="spellEnd"/>
      <w:r w:rsidRPr="002C35DA">
        <w:rPr>
          <w:rFonts w:ascii="Times New Roman" w:eastAsia="Times New Roman" w:hAnsi="Times New Roman" w:cs="Times New Roman"/>
          <w:sz w:val="28"/>
          <w:szCs w:val="28"/>
          <w:lang w:eastAsia="uk-UA"/>
        </w:rPr>
        <w:t xml:space="preserve"> (1259 м) в урочищі </w:t>
      </w:r>
      <w:proofErr w:type="spellStart"/>
      <w:r w:rsidRPr="002C35DA">
        <w:rPr>
          <w:rFonts w:ascii="Times New Roman" w:eastAsia="Times New Roman" w:hAnsi="Times New Roman" w:cs="Times New Roman"/>
          <w:sz w:val="28"/>
          <w:szCs w:val="28"/>
          <w:lang w:eastAsia="uk-UA"/>
        </w:rPr>
        <w:t>Комарники</w:t>
      </w:r>
      <w:proofErr w:type="spellEnd"/>
      <w:r w:rsidRPr="002C35DA">
        <w:rPr>
          <w:rFonts w:ascii="Times New Roman" w:eastAsia="Times New Roman" w:hAnsi="Times New Roman" w:cs="Times New Roman"/>
          <w:sz w:val="28"/>
          <w:szCs w:val="28"/>
          <w:lang w:eastAsia="uk-UA"/>
        </w:rPr>
        <w:t xml:space="preserve">. Тече переважно на північний схід понад горою </w:t>
      </w:r>
      <w:proofErr w:type="spellStart"/>
      <w:r w:rsidRPr="002C35DA">
        <w:rPr>
          <w:rFonts w:ascii="Times New Roman" w:eastAsia="Times New Roman" w:hAnsi="Times New Roman" w:cs="Times New Roman"/>
          <w:sz w:val="28"/>
          <w:szCs w:val="28"/>
          <w:lang w:eastAsia="uk-UA"/>
        </w:rPr>
        <w:t>Кічера</w:t>
      </w:r>
      <w:proofErr w:type="spellEnd"/>
      <w:r w:rsidRPr="002C35DA">
        <w:rPr>
          <w:rFonts w:ascii="Times New Roman" w:eastAsia="Times New Roman" w:hAnsi="Times New Roman" w:cs="Times New Roman"/>
          <w:sz w:val="28"/>
          <w:szCs w:val="28"/>
          <w:lang w:eastAsia="uk-UA"/>
        </w:rPr>
        <w:t xml:space="preserve"> (911,8 м), через села </w:t>
      </w:r>
      <w:proofErr w:type="spellStart"/>
      <w:r w:rsidRPr="002C35DA">
        <w:rPr>
          <w:rFonts w:ascii="Times New Roman" w:eastAsia="Times New Roman" w:hAnsi="Times New Roman" w:cs="Times New Roman"/>
          <w:sz w:val="28"/>
          <w:szCs w:val="28"/>
          <w:lang w:eastAsia="uk-UA"/>
        </w:rPr>
        <w:t>Маняву</w:t>
      </w:r>
      <w:proofErr w:type="spellEnd"/>
      <w:r w:rsidRPr="002C35DA">
        <w:rPr>
          <w:rFonts w:ascii="Times New Roman" w:eastAsia="Times New Roman" w:hAnsi="Times New Roman" w:cs="Times New Roman"/>
          <w:sz w:val="28"/>
          <w:szCs w:val="28"/>
          <w:lang w:eastAsia="uk-UA"/>
        </w:rPr>
        <w:t xml:space="preserve">, Маркову та Монастирчани. Також на її притоках розташований </w:t>
      </w:r>
      <w:proofErr w:type="spellStart"/>
      <w:r w:rsidRPr="002C35DA">
        <w:rPr>
          <w:rFonts w:ascii="Times New Roman" w:eastAsia="Times New Roman" w:hAnsi="Times New Roman" w:cs="Times New Roman"/>
          <w:sz w:val="28"/>
          <w:szCs w:val="28"/>
          <w:lang w:eastAsia="uk-UA"/>
        </w:rPr>
        <w:t>Манявський</w:t>
      </w:r>
      <w:proofErr w:type="spellEnd"/>
      <w:r w:rsidRPr="002C35DA">
        <w:rPr>
          <w:rFonts w:ascii="Times New Roman" w:eastAsia="Times New Roman" w:hAnsi="Times New Roman" w:cs="Times New Roman"/>
          <w:sz w:val="28"/>
          <w:szCs w:val="28"/>
          <w:lang w:eastAsia="uk-UA"/>
        </w:rPr>
        <w:t xml:space="preserve"> водоспад.</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3.4 Земельний фонд громади</w:t>
      </w:r>
    </w:p>
    <w:p w:rsidR="009104C5" w:rsidRPr="002C35DA" w:rsidRDefault="009104C5" w:rsidP="009104C5">
      <w:pPr>
        <w:spacing w:after="100" w:afterAutospacing="1" w:line="240" w:lineRule="auto"/>
        <w:ind w:left="567" w:right="-457"/>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Структура земельного фонду Солотвинської громади:</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сільськогосподарського призначення  займають площу 9810,3912 га, що становить 26% від загальної території. Ці землі використовуються для вирощування сільськогосподарських культур, садівництва та тваринництва, і є основою аграрного сектора економіки.</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Ліси та </w:t>
      </w:r>
      <w:proofErr w:type="spellStart"/>
      <w:r w:rsidRPr="002C35DA">
        <w:rPr>
          <w:rFonts w:ascii="Times New Roman" w:eastAsia="Times New Roman" w:hAnsi="Times New Roman" w:cs="Times New Roman"/>
          <w:sz w:val="28"/>
          <w:szCs w:val="28"/>
          <w:lang w:eastAsia="uk-UA"/>
        </w:rPr>
        <w:t>лісовкриті</w:t>
      </w:r>
      <w:proofErr w:type="spellEnd"/>
      <w:r w:rsidRPr="002C35DA">
        <w:rPr>
          <w:rFonts w:ascii="Times New Roman" w:eastAsia="Times New Roman" w:hAnsi="Times New Roman" w:cs="Times New Roman"/>
          <w:sz w:val="28"/>
          <w:szCs w:val="28"/>
          <w:lang w:eastAsia="uk-UA"/>
        </w:rPr>
        <w:t xml:space="preserve"> площі охоплюють 14 416,51 га, що складає 38,2% від загальної площі. Ліси відіграють ключову роль у підтримці екологічного балансу, збереженні </w:t>
      </w:r>
      <w:proofErr w:type="spellStart"/>
      <w:r w:rsidRPr="002C35DA">
        <w:rPr>
          <w:rFonts w:ascii="Times New Roman" w:eastAsia="Times New Roman" w:hAnsi="Times New Roman" w:cs="Times New Roman"/>
          <w:sz w:val="28"/>
          <w:szCs w:val="28"/>
          <w:lang w:eastAsia="uk-UA"/>
        </w:rPr>
        <w:t>біорізноманіття</w:t>
      </w:r>
      <w:proofErr w:type="spellEnd"/>
      <w:r w:rsidRPr="002C35DA">
        <w:rPr>
          <w:rFonts w:ascii="Times New Roman" w:eastAsia="Times New Roman" w:hAnsi="Times New Roman" w:cs="Times New Roman"/>
          <w:sz w:val="28"/>
          <w:szCs w:val="28"/>
          <w:lang w:eastAsia="uk-UA"/>
        </w:rPr>
        <w:t xml:space="preserve"> та регулюванні клімату.</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Забудовані землі займають 1059,3 га, що дорівнює 2,8% від загальної території. До цієї категорії відносяться території, на яких розташовані будівлі, споруди та інша інфраструктура.</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під водою (водні ресурси)  становлять 298,45 га, що складає 0,80% від загальної площі. Водні ресурси включають річки, озера, ставки та інші водоймища, які мають важливе значення для забезпечення водопостачання, зрошення та рекреації.</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рекреаційного призначення  охоплюють 10886,0 га, що складає 28,9% від загальної території. Ці землі призначені для відпочинку, туризму та інших видів рекреаційної діяльності, сприяючи покращенню якості життя населення.</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промисловості, транспорту, зв’язку, енергетики, оборони та іншого призначення  займають 26,5 га, що складає 0,33% від загальної площі. Ці території включають об'єкти промислового виробництва, транспортну інфраструктуру, засоби зв'язку, енергетичні установки та оборонні споруди.</w:t>
      </w:r>
    </w:p>
    <w:p w:rsidR="009104C5" w:rsidRPr="002C35DA" w:rsidRDefault="009104C5" w:rsidP="009104C5">
      <w:pPr>
        <w:numPr>
          <w:ilvl w:val="0"/>
          <w:numId w:val="3"/>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Відкриті заболочені землі (чагарники)  займають 1225,55 га, що складає 3,25% від загальної площі. Ці землі є важливими для збереження природних екосистем, регулювання водного балансу та підтримання </w:t>
      </w:r>
      <w:proofErr w:type="spellStart"/>
      <w:r w:rsidRPr="002C35DA">
        <w:rPr>
          <w:rFonts w:ascii="Times New Roman" w:eastAsia="Times New Roman" w:hAnsi="Times New Roman" w:cs="Times New Roman"/>
          <w:sz w:val="28"/>
          <w:szCs w:val="28"/>
          <w:lang w:eastAsia="uk-UA"/>
        </w:rPr>
        <w:t>біорізноманіття</w:t>
      </w:r>
      <w:proofErr w:type="spellEnd"/>
      <w:r w:rsidRPr="002C35DA">
        <w:rPr>
          <w:rFonts w:ascii="Times New Roman" w:eastAsia="Times New Roman" w:hAnsi="Times New Roman" w:cs="Times New Roman"/>
          <w:sz w:val="28"/>
          <w:szCs w:val="28"/>
          <w:lang w:eastAsia="uk-UA"/>
        </w:rPr>
        <w:t>.</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Категорія земель за призначенням:</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1. Землі сільськогосподарського призначення  займають площу 9807,3912 га. До цієї категорії належать:</w:t>
      </w:r>
    </w:p>
    <w:p w:rsidR="009104C5" w:rsidRPr="002C35DA" w:rsidRDefault="009104C5" w:rsidP="009104C5">
      <w:pPr>
        <w:numPr>
          <w:ilvl w:val="1"/>
          <w:numId w:val="7"/>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Сільськогосподарські угіддя: 9731,7626 га, основне призначення яких є вирощування сільськогосподарських культур та тваринництво.</w:t>
      </w:r>
    </w:p>
    <w:p w:rsidR="009104C5" w:rsidRPr="002C35DA" w:rsidRDefault="009104C5" w:rsidP="009104C5">
      <w:pPr>
        <w:numPr>
          <w:ilvl w:val="1"/>
          <w:numId w:val="7"/>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під господарськими будівлями і дворами: 63,0299 га.</w:t>
      </w:r>
    </w:p>
    <w:p w:rsidR="009104C5" w:rsidRPr="002C35DA" w:rsidRDefault="009104C5" w:rsidP="009104C5">
      <w:pPr>
        <w:numPr>
          <w:ilvl w:val="1"/>
          <w:numId w:val="7"/>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lastRenderedPageBreak/>
        <w:t>Землі під господарськими шляхами і прогонами: 15,5986 га.</w:t>
      </w:r>
    </w:p>
    <w:p w:rsidR="009104C5" w:rsidRPr="002C35DA" w:rsidRDefault="009104C5" w:rsidP="009104C5">
      <w:pPr>
        <w:numPr>
          <w:ilvl w:val="1"/>
          <w:numId w:val="7"/>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які перебувають у стадії меліоративного будівництва та відновлення родючості: дані відсутні.</w:t>
      </w:r>
    </w:p>
    <w:p w:rsidR="009104C5" w:rsidRPr="002C35DA" w:rsidRDefault="009104C5" w:rsidP="009104C5">
      <w:pPr>
        <w:numPr>
          <w:ilvl w:val="1"/>
          <w:numId w:val="7"/>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Інші землі: дані відсутні.</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2. Ліси та інші </w:t>
      </w:r>
      <w:proofErr w:type="spellStart"/>
      <w:r w:rsidRPr="002C35DA">
        <w:rPr>
          <w:rFonts w:ascii="Times New Roman" w:eastAsia="Times New Roman" w:hAnsi="Times New Roman" w:cs="Times New Roman"/>
          <w:sz w:val="28"/>
          <w:szCs w:val="28"/>
          <w:lang w:eastAsia="uk-UA"/>
        </w:rPr>
        <w:t>лісовкриті</w:t>
      </w:r>
      <w:proofErr w:type="spellEnd"/>
      <w:r w:rsidRPr="002C35DA">
        <w:rPr>
          <w:rFonts w:ascii="Times New Roman" w:eastAsia="Times New Roman" w:hAnsi="Times New Roman" w:cs="Times New Roman"/>
          <w:sz w:val="28"/>
          <w:szCs w:val="28"/>
          <w:lang w:eastAsia="uk-UA"/>
        </w:rPr>
        <w:t xml:space="preserve"> площі займають 25345,72 га, з яких:</w:t>
      </w:r>
    </w:p>
    <w:p w:rsidR="009104C5" w:rsidRPr="002C35DA" w:rsidRDefault="009104C5" w:rsidP="009104C5">
      <w:pPr>
        <w:numPr>
          <w:ilvl w:val="1"/>
          <w:numId w:val="6"/>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Лісові землі: 24382,98 га, які включають ділянки з деревною рослинністю.</w:t>
      </w:r>
    </w:p>
    <w:p w:rsidR="009104C5" w:rsidRPr="002C35DA" w:rsidRDefault="009104C5" w:rsidP="009104C5">
      <w:pPr>
        <w:numPr>
          <w:ilvl w:val="1"/>
          <w:numId w:val="6"/>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Чагарники: 962,74 га.</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3. Забудовані землі  займають 1053,5396 га, зокрема: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Під житловою забудовою: 449,474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промисловості: 46,2501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які використовуються у комерційних цілях: 11,1689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громадського призначення: 63,1680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змішаного використання: 2,0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які використовуються для транспорту та зв'язку: 91,174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які використовуються для технічної інфраструктури: 3,7279 га.</w:t>
      </w:r>
    </w:p>
    <w:p w:rsidR="009104C5" w:rsidRPr="002C35DA" w:rsidRDefault="009104C5" w:rsidP="009104C5">
      <w:pPr>
        <w:numPr>
          <w:ilvl w:val="1"/>
          <w:numId w:val="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Землі, які використовуються для відпочинку та інші відкриті землі: 386,5767 га.</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4. Землі під водою (водні ресурси)  займають 298,4533 га, серед яких:</w:t>
      </w:r>
    </w:p>
    <w:p w:rsidR="009104C5" w:rsidRPr="002C35DA" w:rsidRDefault="009104C5" w:rsidP="009104C5">
      <w:pPr>
        <w:numPr>
          <w:ilvl w:val="1"/>
          <w:numId w:val="4"/>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Під ставками: 12,6755 га.</w:t>
      </w:r>
    </w:p>
    <w:p w:rsidR="009104C5" w:rsidRPr="002C35DA" w:rsidRDefault="009104C5" w:rsidP="009104C5">
      <w:pPr>
        <w:numPr>
          <w:ilvl w:val="1"/>
          <w:numId w:val="4"/>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Природні водотоки (річки та ставки): 266,3377 га.</w:t>
      </w:r>
    </w:p>
    <w:p w:rsidR="009104C5" w:rsidRPr="002C35DA" w:rsidRDefault="009104C5" w:rsidP="009104C5">
      <w:pPr>
        <w:numPr>
          <w:ilvl w:val="1"/>
          <w:numId w:val="4"/>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Штучні водотоки (канали, колектори, канави): 19,4401 га.</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5. Відкриті заболочені землі та землі без рослинного покриву або з незначним рослинним покривом  займають 1127,4885 га.</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6. Інші землі  становлять 57,3960 га.</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Найпоширеніші типи ґрунтів: дерново-підзолисті, буроземи опідзолені щебенюваті. Кислотність ґрунтів негативно позначається на їх родючості. Серед них 15,9 % припадає на дуже сильно – та </w:t>
      </w:r>
      <w:proofErr w:type="spellStart"/>
      <w:r w:rsidRPr="002C35DA">
        <w:rPr>
          <w:rFonts w:ascii="Times New Roman" w:eastAsia="Times New Roman" w:hAnsi="Times New Roman" w:cs="Times New Roman"/>
          <w:sz w:val="28"/>
          <w:szCs w:val="28"/>
          <w:lang w:eastAsia="uk-UA"/>
        </w:rPr>
        <w:t>сильнокислі</w:t>
      </w:r>
      <w:proofErr w:type="spellEnd"/>
      <w:r w:rsidRPr="002C35DA">
        <w:rPr>
          <w:rFonts w:ascii="Times New Roman" w:eastAsia="Times New Roman" w:hAnsi="Times New Roman" w:cs="Times New Roman"/>
          <w:sz w:val="28"/>
          <w:szCs w:val="28"/>
          <w:lang w:eastAsia="uk-UA"/>
        </w:rPr>
        <w:t xml:space="preserve">, 14,3 % – </w:t>
      </w:r>
      <w:proofErr w:type="spellStart"/>
      <w:r w:rsidRPr="002C35DA">
        <w:rPr>
          <w:rFonts w:ascii="Times New Roman" w:eastAsia="Times New Roman" w:hAnsi="Times New Roman" w:cs="Times New Roman"/>
          <w:sz w:val="28"/>
          <w:szCs w:val="28"/>
          <w:lang w:eastAsia="uk-UA"/>
        </w:rPr>
        <w:t>середньокислі</w:t>
      </w:r>
      <w:proofErr w:type="spellEnd"/>
      <w:r w:rsidRPr="002C35DA">
        <w:rPr>
          <w:rFonts w:ascii="Times New Roman" w:eastAsia="Times New Roman" w:hAnsi="Times New Roman" w:cs="Times New Roman"/>
          <w:sz w:val="28"/>
          <w:szCs w:val="28"/>
          <w:lang w:eastAsia="uk-UA"/>
        </w:rPr>
        <w:t xml:space="preserve">, 22,3 % – </w:t>
      </w:r>
      <w:proofErr w:type="spellStart"/>
      <w:r w:rsidRPr="002C35DA">
        <w:rPr>
          <w:rFonts w:ascii="Times New Roman" w:eastAsia="Times New Roman" w:hAnsi="Times New Roman" w:cs="Times New Roman"/>
          <w:sz w:val="28"/>
          <w:szCs w:val="28"/>
          <w:lang w:eastAsia="uk-UA"/>
        </w:rPr>
        <w:t>слабокислі</w:t>
      </w:r>
      <w:proofErr w:type="spellEnd"/>
      <w:r w:rsidRPr="002C35DA">
        <w:rPr>
          <w:rFonts w:ascii="Times New Roman" w:eastAsia="Times New Roman" w:hAnsi="Times New Roman" w:cs="Times New Roman"/>
          <w:sz w:val="28"/>
          <w:szCs w:val="28"/>
          <w:lang w:eastAsia="uk-UA"/>
        </w:rPr>
        <w:t xml:space="preserve"> ґрунти.</w:t>
      </w:r>
    </w:p>
    <w:p w:rsidR="009104C5" w:rsidRPr="002C35DA" w:rsidRDefault="009104C5" w:rsidP="009104C5">
      <w:pPr>
        <w:spacing w:after="100" w:afterAutospacing="1" w:line="240" w:lineRule="auto"/>
        <w:ind w:left="567" w:right="-457"/>
        <w:jc w:val="both"/>
        <w:rPr>
          <w:rFonts w:ascii="Times New Roman" w:eastAsia="Calibri" w:hAnsi="Times New Roman" w:cs="Times New Roman"/>
          <w:color w:val="000000"/>
          <w:sz w:val="28"/>
          <w:szCs w:val="28"/>
          <w:shd w:val="clear" w:color="auto" w:fill="FFFFFF"/>
        </w:rPr>
      </w:pPr>
      <w:proofErr w:type="spellStart"/>
      <w:r w:rsidRPr="002C35DA">
        <w:rPr>
          <w:rFonts w:ascii="Times New Roman" w:eastAsia="Calibri" w:hAnsi="Times New Roman" w:cs="Times New Roman"/>
          <w:b/>
          <w:color w:val="000000"/>
          <w:sz w:val="28"/>
          <w:szCs w:val="28"/>
          <w:shd w:val="clear" w:color="auto" w:fill="FFFFFF"/>
        </w:rPr>
        <w:t>Солотвинське</w:t>
      </w:r>
      <w:proofErr w:type="spellEnd"/>
      <w:r w:rsidRPr="002C35DA">
        <w:rPr>
          <w:rFonts w:ascii="Times New Roman" w:eastAsia="Calibri" w:hAnsi="Times New Roman" w:cs="Times New Roman"/>
          <w:b/>
          <w:color w:val="000000"/>
          <w:sz w:val="28"/>
          <w:szCs w:val="28"/>
          <w:shd w:val="clear" w:color="auto" w:fill="FFFFFF"/>
        </w:rPr>
        <w:t xml:space="preserve"> родовище глин</w:t>
      </w:r>
      <w:r w:rsidRPr="002C35DA">
        <w:rPr>
          <w:rFonts w:ascii="Times New Roman" w:eastAsia="Calibri" w:hAnsi="Times New Roman" w:cs="Times New Roman"/>
          <w:b/>
          <w:i/>
          <w:color w:val="000000"/>
          <w:sz w:val="28"/>
          <w:szCs w:val="28"/>
          <w:shd w:val="clear" w:color="auto" w:fill="FFFFFF"/>
        </w:rPr>
        <w:t xml:space="preserve">. </w:t>
      </w:r>
      <w:r w:rsidRPr="002C35DA">
        <w:rPr>
          <w:rFonts w:ascii="Times New Roman" w:eastAsia="Calibri" w:hAnsi="Times New Roman" w:cs="Times New Roman"/>
          <w:color w:val="000000"/>
          <w:sz w:val="28"/>
          <w:szCs w:val="28"/>
          <w:shd w:val="clear" w:color="auto" w:fill="FFFFFF"/>
        </w:rPr>
        <w:t xml:space="preserve">Розташоване </w:t>
      </w:r>
      <w:r w:rsidRPr="002C35DA">
        <w:rPr>
          <w:rFonts w:ascii="Times New Roman" w:eastAsia="Calibri" w:hAnsi="Times New Roman" w:cs="Times New Roman"/>
          <w:sz w:val="28"/>
          <w:szCs w:val="28"/>
          <w:shd w:val="clear" w:color="auto" w:fill="FFFFFF"/>
        </w:rPr>
        <w:t>за</w:t>
      </w:r>
      <w:r w:rsidRPr="002C35DA">
        <w:rPr>
          <w:rFonts w:ascii="Times New Roman" w:eastAsia="Calibri" w:hAnsi="Times New Roman" w:cs="Times New Roman"/>
          <w:color w:val="000000"/>
          <w:sz w:val="28"/>
          <w:szCs w:val="28"/>
          <w:shd w:val="clear" w:color="auto" w:fill="FFFFFF"/>
        </w:rPr>
        <w:t xml:space="preserve"> </w:t>
      </w:r>
      <w:smartTag w:uri="urn:schemas-microsoft-com:office:smarttags" w:element="metricconverter">
        <w:smartTagPr>
          <w:attr w:name="ProductID" w:val="2 км"/>
        </w:smartTagPr>
        <w:r w:rsidRPr="002C35DA">
          <w:rPr>
            <w:rFonts w:ascii="Times New Roman" w:eastAsia="Calibri" w:hAnsi="Times New Roman" w:cs="Times New Roman"/>
            <w:color w:val="000000"/>
            <w:sz w:val="28"/>
            <w:szCs w:val="28"/>
            <w:shd w:val="clear" w:color="auto" w:fill="FFFFFF"/>
          </w:rPr>
          <w:t>2 км</w:t>
        </w:r>
      </w:smartTag>
      <w:r w:rsidRPr="002C35DA">
        <w:rPr>
          <w:rFonts w:ascii="Times New Roman" w:eastAsia="Calibri" w:hAnsi="Times New Roman" w:cs="Times New Roman"/>
          <w:color w:val="000000"/>
          <w:sz w:val="28"/>
          <w:szCs w:val="28"/>
          <w:shd w:val="clear" w:color="auto" w:fill="FFFFFF"/>
        </w:rPr>
        <w:t xml:space="preserve"> на південь від селища Солотвин. Обстежене в 1955 році Львівським філіалом «</w:t>
      </w:r>
      <w:proofErr w:type="spellStart"/>
      <w:r w:rsidRPr="002C35DA">
        <w:rPr>
          <w:rFonts w:ascii="Times New Roman" w:eastAsia="Calibri" w:hAnsi="Times New Roman" w:cs="Times New Roman"/>
          <w:color w:val="000000"/>
          <w:sz w:val="28"/>
          <w:szCs w:val="28"/>
          <w:shd w:val="clear" w:color="auto" w:fill="FFFFFF"/>
        </w:rPr>
        <w:t>Укргеологопром</w:t>
      </w:r>
      <w:proofErr w:type="spellEnd"/>
      <w:r w:rsidRPr="002C35DA">
        <w:rPr>
          <w:rFonts w:ascii="Times New Roman" w:eastAsia="Calibri" w:hAnsi="Times New Roman" w:cs="Times New Roman"/>
          <w:color w:val="000000"/>
          <w:sz w:val="28"/>
          <w:szCs w:val="28"/>
          <w:shd w:val="clear" w:color="auto" w:fill="FFFFFF"/>
        </w:rPr>
        <w:t xml:space="preserve">». Запаси сировини на площі </w:t>
      </w:r>
      <w:smartTag w:uri="urn:schemas-microsoft-com:office:smarttags" w:element="metricconverter">
        <w:smartTagPr>
          <w:attr w:name="ProductID" w:val="2 га"/>
        </w:smartTagPr>
        <w:r w:rsidRPr="002C35DA">
          <w:rPr>
            <w:rFonts w:ascii="Times New Roman" w:eastAsia="Calibri" w:hAnsi="Times New Roman" w:cs="Times New Roman"/>
            <w:color w:val="000000"/>
            <w:sz w:val="28"/>
            <w:szCs w:val="28"/>
            <w:shd w:val="clear" w:color="auto" w:fill="FFFFFF"/>
          </w:rPr>
          <w:t>2 га</w:t>
        </w:r>
      </w:smartTag>
      <w:r w:rsidRPr="002C35DA">
        <w:rPr>
          <w:rFonts w:ascii="Times New Roman" w:eastAsia="Calibri" w:hAnsi="Times New Roman" w:cs="Times New Roman"/>
          <w:color w:val="000000"/>
          <w:sz w:val="28"/>
          <w:szCs w:val="28"/>
          <w:shd w:val="clear" w:color="auto" w:fill="FFFFFF"/>
        </w:rPr>
        <w:t xml:space="preserve"> орієнтовно складають три тис.</w:t>
      </w:r>
      <w:r w:rsidRPr="002C35DA">
        <w:rPr>
          <w:rFonts w:ascii="Times New Roman" w:eastAsia="Calibri" w:hAnsi="Times New Roman" w:cs="Times New Roman"/>
          <w:color w:val="000000"/>
          <w:sz w:val="28"/>
          <w:szCs w:val="28"/>
          <w:shd w:val="clear" w:color="auto" w:fill="F9F9F9"/>
        </w:rPr>
        <w:t xml:space="preserve"> </w:t>
      </w:r>
      <w:r w:rsidRPr="002C35DA">
        <w:rPr>
          <w:rFonts w:ascii="Times New Roman" w:eastAsia="Calibri" w:hAnsi="Times New Roman" w:cs="Times New Roman"/>
          <w:color w:val="000000"/>
          <w:sz w:val="28"/>
          <w:szCs w:val="28"/>
          <w:shd w:val="clear" w:color="auto" w:fill="FFFFFF"/>
        </w:rPr>
        <w:t>м³. Родовище не експлуатується.</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b/>
          <w:bCs/>
          <w:sz w:val="28"/>
          <w:szCs w:val="28"/>
        </w:rPr>
        <w:t>Зсуви</w:t>
      </w:r>
      <w:r w:rsidRPr="002C35DA">
        <w:rPr>
          <w:rFonts w:ascii="Times New Roman" w:eastAsia="Calibri" w:hAnsi="Times New Roman" w:cs="Times New Roman"/>
          <w:sz w:val="28"/>
          <w:szCs w:val="28"/>
        </w:rPr>
        <w:t xml:space="preserve">. Більшість зсувів являють собою селево-зсувні потоки, які закладені в четвертинних елювіально-делювіальних та делювіальних відкладах, складених глинами та суглинками з уламками пісковиків. Потужність порід, що </w:t>
      </w:r>
      <w:r w:rsidRPr="002C35DA">
        <w:rPr>
          <w:rFonts w:ascii="Times New Roman" w:eastAsia="Calibri" w:hAnsi="Times New Roman" w:cs="Times New Roman"/>
          <w:sz w:val="28"/>
          <w:szCs w:val="28"/>
        </w:rPr>
        <w:lastRenderedPageBreak/>
        <w:t xml:space="preserve">деформуються, відповідає потужності четвертинних відкладів і складає 1-5 м. За формою в плані вони льодовикові і фронтальні, їх площі коливаються від 0,1 до 1,2 га. У смузі розповсюдження глинистих утворень </w:t>
      </w:r>
      <w:proofErr w:type="spellStart"/>
      <w:r w:rsidRPr="002C35DA">
        <w:rPr>
          <w:rFonts w:ascii="Times New Roman" w:eastAsia="Calibri" w:hAnsi="Times New Roman" w:cs="Times New Roman"/>
          <w:sz w:val="28"/>
          <w:szCs w:val="28"/>
        </w:rPr>
        <w:t>Скибової</w:t>
      </w:r>
      <w:proofErr w:type="spellEnd"/>
      <w:r w:rsidRPr="002C35DA">
        <w:rPr>
          <w:rFonts w:ascii="Times New Roman" w:eastAsia="Calibri" w:hAnsi="Times New Roman" w:cs="Times New Roman"/>
          <w:sz w:val="28"/>
          <w:szCs w:val="28"/>
        </w:rPr>
        <w:t xml:space="preserve"> зони відмічені локальні прояви зсувів змішаного та блокового типів. Зсуви структуровані, розміри їх сягали до 18 га (с. </w:t>
      </w:r>
      <w:proofErr w:type="spellStart"/>
      <w:r w:rsidRPr="002C35DA">
        <w:rPr>
          <w:rFonts w:ascii="Times New Roman" w:eastAsia="Calibri" w:hAnsi="Times New Roman" w:cs="Times New Roman"/>
          <w:sz w:val="28"/>
          <w:szCs w:val="28"/>
        </w:rPr>
        <w:t>Манява</w:t>
      </w:r>
      <w:proofErr w:type="spellEnd"/>
      <w:r w:rsidRPr="002C35DA">
        <w:rPr>
          <w:rFonts w:ascii="Times New Roman" w:eastAsia="Calibri" w:hAnsi="Times New Roman" w:cs="Times New Roman"/>
          <w:sz w:val="28"/>
          <w:szCs w:val="28"/>
        </w:rPr>
        <w:t>).</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b/>
          <w:bCs/>
          <w:sz w:val="28"/>
          <w:szCs w:val="28"/>
        </w:rPr>
        <w:t>Селі</w:t>
      </w:r>
      <w:r w:rsidRPr="002C35DA">
        <w:rPr>
          <w:rFonts w:ascii="Times New Roman" w:eastAsia="Calibri" w:hAnsi="Times New Roman" w:cs="Times New Roman"/>
          <w:sz w:val="28"/>
          <w:szCs w:val="28"/>
        </w:rPr>
        <w:t>. У смузі розповсюдження трикомпонентного флішу формуються селеві потоки. Великі потоки мають конуси виносу об’ємом 8</w:t>
      </w:r>
      <w:r w:rsidRPr="002C35DA">
        <w:rPr>
          <w:rFonts w:ascii="Times New Roman" w:eastAsia="Calibri" w:hAnsi="Times New Roman" w:cs="Times New Roman"/>
          <w:sz w:val="28"/>
          <w:szCs w:val="28"/>
          <w:lang w:val="ru-RU"/>
        </w:rPr>
        <w:t xml:space="preserve"> </w:t>
      </w:r>
      <w:r w:rsidRPr="002C35DA">
        <w:rPr>
          <w:rFonts w:ascii="Times New Roman" w:eastAsia="Calibri" w:hAnsi="Times New Roman" w:cs="Times New Roman"/>
          <w:sz w:val="28"/>
          <w:szCs w:val="28"/>
        </w:rPr>
        <w:t>–</w:t>
      </w:r>
      <w:r w:rsidRPr="002C35DA">
        <w:rPr>
          <w:rFonts w:ascii="Times New Roman" w:eastAsia="Calibri" w:hAnsi="Times New Roman" w:cs="Times New Roman"/>
          <w:sz w:val="28"/>
          <w:szCs w:val="28"/>
          <w:lang w:val="ru-RU"/>
        </w:rPr>
        <w:t xml:space="preserve"> </w:t>
      </w:r>
      <w:r w:rsidRPr="002C35DA">
        <w:rPr>
          <w:rFonts w:ascii="Times New Roman" w:eastAsia="Calibri" w:hAnsi="Times New Roman" w:cs="Times New Roman"/>
          <w:sz w:val="28"/>
          <w:szCs w:val="28"/>
        </w:rPr>
        <w:t>10 тис.м</w:t>
      </w:r>
      <w:r w:rsidRPr="002C35DA">
        <w:rPr>
          <w:rFonts w:ascii="Times New Roman" w:eastAsia="Calibri" w:hAnsi="Times New Roman" w:cs="Times New Roman"/>
          <w:sz w:val="28"/>
          <w:szCs w:val="28"/>
          <w:vertAlign w:val="superscript"/>
        </w:rPr>
        <w:t>3</w:t>
      </w:r>
      <w:r w:rsidRPr="002C35DA">
        <w:rPr>
          <w:rFonts w:ascii="Times New Roman" w:eastAsia="Calibri" w:hAnsi="Times New Roman" w:cs="Times New Roman"/>
          <w:sz w:val="28"/>
          <w:szCs w:val="28"/>
        </w:rPr>
        <w:t>, розвантаження селевих</w:t>
      </w:r>
      <w:r w:rsidRPr="002C35DA">
        <w:rPr>
          <w:rFonts w:ascii="Times New Roman" w:eastAsia="Calibri" w:hAnsi="Times New Roman" w:cs="Times New Roman"/>
          <w:sz w:val="28"/>
          <w:szCs w:val="28"/>
          <w:lang w:val="ru-RU"/>
        </w:rPr>
        <w:t xml:space="preserve"> </w:t>
      </w:r>
      <w:r w:rsidRPr="002C35DA">
        <w:rPr>
          <w:rFonts w:ascii="Times New Roman" w:eastAsia="Calibri" w:hAnsi="Times New Roman" w:cs="Times New Roman"/>
          <w:sz w:val="28"/>
          <w:szCs w:val="28"/>
        </w:rPr>
        <w:t>мас проходить на дороги з руйнацією мостів та житла. Мілкі потоки мають конуси виносу</w:t>
      </w:r>
      <w:r w:rsidRPr="002C35DA">
        <w:rPr>
          <w:rFonts w:ascii="Times New Roman" w:eastAsia="Calibri" w:hAnsi="Times New Roman" w:cs="Times New Roman"/>
          <w:sz w:val="28"/>
          <w:szCs w:val="28"/>
          <w:lang w:val="ru-RU"/>
        </w:rPr>
        <w:t xml:space="preserve"> </w:t>
      </w:r>
      <w:r w:rsidRPr="002C35DA">
        <w:rPr>
          <w:rFonts w:ascii="Times New Roman" w:eastAsia="Calibri" w:hAnsi="Times New Roman" w:cs="Times New Roman"/>
          <w:sz w:val="28"/>
          <w:szCs w:val="28"/>
        </w:rPr>
        <w:t>200-400 м</w:t>
      </w:r>
      <w:r w:rsidRPr="002C35DA">
        <w:rPr>
          <w:rFonts w:ascii="Times New Roman" w:eastAsia="Calibri" w:hAnsi="Times New Roman" w:cs="Times New Roman"/>
          <w:sz w:val="28"/>
          <w:szCs w:val="28"/>
          <w:vertAlign w:val="superscript"/>
        </w:rPr>
        <w:t>3</w:t>
      </w:r>
      <w:r w:rsidRPr="002C35DA">
        <w:rPr>
          <w:rFonts w:ascii="Times New Roman" w:eastAsia="Calibri" w:hAnsi="Times New Roman" w:cs="Times New Roman"/>
          <w:sz w:val="28"/>
          <w:szCs w:val="28"/>
        </w:rPr>
        <w:t>.</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Зони часткового затоплення:</w:t>
      </w:r>
    </w:p>
    <w:p w:rsidR="009104C5" w:rsidRPr="002C35DA" w:rsidRDefault="009104C5" w:rsidP="009104C5">
      <w:pPr>
        <w:numPr>
          <w:ilvl w:val="0"/>
          <w:numId w:val="9"/>
        </w:numPr>
        <w:spacing w:after="100" w:afterAutospacing="1" w:line="240" w:lineRule="auto"/>
        <w:ind w:left="567" w:right="-457" w:firstLine="0"/>
        <w:jc w:val="both"/>
        <w:outlineLvl w:val="3"/>
        <w:rPr>
          <w:rFonts w:ascii="Times New Roman" w:eastAsia="Times New Roman" w:hAnsi="Times New Roman" w:cs="Times New Roman"/>
          <w:bCs/>
          <w:sz w:val="28"/>
          <w:szCs w:val="28"/>
          <w:lang w:eastAsia="ru-RU"/>
        </w:rPr>
      </w:pPr>
      <w:r w:rsidRPr="002C35DA">
        <w:rPr>
          <w:rFonts w:ascii="Times New Roman" w:eastAsia="Times New Roman" w:hAnsi="Times New Roman" w:cs="Times New Roman"/>
          <w:bCs/>
          <w:sz w:val="28"/>
          <w:szCs w:val="28"/>
          <w:lang w:eastAsia="ru-RU"/>
        </w:rPr>
        <w:t xml:space="preserve">Річка Бистриця Солотвинська: с. Стара Гута (урочище </w:t>
      </w:r>
      <w:proofErr w:type="spellStart"/>
      <w:r w:rsidRPr="002C35DA">
        <w:rPr>
          <w:rFonts w:ascii="Times New Roman" w:eastAsia="Times New Roman" w:hAnsi="Times New Roman" w:cs="Times New Roman"/>
          <w:bCs/>
          <w:sz w:val="28"/>
          <w:szCs w:val="28"/>
          <w:lang w:eastAsia="ru-RU"/>
        </w:rPr>
        <w:t>Облаз</w:t>
      </w:r>
      <w:proofErr w:type="spellEnd"/>
      <w:r w:rsidRPr="002C35DA">
        <w:rPr>
          <w:rFonts w:ascii="Times New Roman" w:eastAsia="Times New Roman" w:hAnsi="Times New Roman" w:cs="Times New Roman"/>
          <w:bCs/>
          <w:sz w:val="28"/>
          <w:szCs w:val="28"/>
          <w:lang w:eastAsia="ru-RU"/>
        </w:rPr>
        <w:t xml:space="preserve">), с. Пороги (вище автомобільних мостів на центральній дорозі села), с. Яблунька (вище і нижче автомобільного мосту через річку), с. Раковець (навпроти ГВК «Бистриця» і вище за течією), смт. Солотвин (ліва сторона Заріччя та права від села Монастирчани), с. Монастирчани (правий берег від селища Солотвин до наявної дамби). </w:t>
      </w:r>
    </w:p>
    <w:p w:rsidR="009104C5" w:rsidRPr="002C35DA" w:rsidRDefault="009104C5" w:rsidP="009104C5">
      <w:pPr>
        <w:numPr>
          <w:ilvl w:val="0"/>
          <w:numId w:val="9"/>
        </w:numPr>
        <w:spacing w:after="100" w:afterAutospacing="1" w:line="240" w:lineRule="auto"/>
        <w:ind w:left="567" w:right="-457" w:firstLine="0"/>
        <w:jc w:val="both"/>
        <w:outlineLvl w:val="3"/>
        <w:rPr>
          <w:rFonts w:ascii="Times New Roman" w:eastAsia="Times New Roman" w:hAnsi="Times New Roman" w:cs="Times New Roman"/>
          <w:bCs/>
          <w:sz w:val="28"/>
          <w:szCs w:val="28"/>
          <w:lang w:eastAsia="ru-RU"/>
        </w:rPr>
      </w:pPr>
      <w:r w:rsidRPr="002C35DA">
        <w:rPr>
          <w:rFonts w:ascii="Times New Roman" w:eastAsia="Times New Roman" w:hAnsi="Times New Roman" w:cs="Times New Roman"/>
          <w:bCs/>
          <w:sz w:val="28"/>
          <w:szCs w:val="28"/>
          <w:lang w:eastAsia="ru-RU"/>
        </w:rPr>
        <w:t xml:space="preserve">Річка </w:t>
      </w:r>
      <w:proofErr w:type="spellStart"/>
      <w:r w:rsidRPr="002C35DA">
        <w:rPr>
          <w:rFonts w:ascii="Times New Roman" w:eastAsia="Times New Roman" w:hAnsi="Times New Roman" w:cs="Times New Roman"/>
          <w:bCs/>
          <w:sz w:val="28"/>
          <w:szCs w:val="28"/>
          <w:lang w:eastAsia="ru-RU"/>
        </w:rPr>
        <w:t>Манявка</w:t>
      </w:r>
      <w:proofErr w:type="spellEnd"/>
      <w:r w:rsidRPr="002C35DA">
        <w:rPr>
          <w:rFonts w:ascii="Times New Roman" w:eastAsia="Times New Roman" w:hAnsi="Times New Roman" w:cs="Times New Roman"/>
          <w:bCs/>
          <w:sz w:val="28"/>
          <w:szCs w:val="28"/>
          <w:lang w:eastAsia="ru-RU"/>
        </w:rPr>
        <w:t xml:space="preserve">: с. </w:t>
      </w:r>
      <w:proofErr w:type="spellStart"/>
      <w:r w:rsidRPr="002C35DA">
        <w:rPr>
          <w:rFonts w:ascii="Times New Roman" w:eastAsia="Times New Roman" w:hAnsi="Times New Roman" w:cs="Times New Roman"/>
          <w:bCs/>
          <w:sz w:val="28"/>
          <w:szCs w:val="28"/>
          <w:lang w:eastAsia="ru-RU"/>
        </w:rPr>
        <w:t>Манява</w:t>
      </w:r>
      <w:proofErr w:type="spellEnd"/>
      <w:r w:rsidRPr="002C35DA">
        <w:rPr>
          <w:rFonts w:ascii="Times New Roman" w:eastAsia="Times New Roman" w:hAnsi="Times New Roman" w:cs="Times New Roman"/>
          <w:bCs/>
          <w:sz w:val="28"/>
          <w:szCs w:val="28"/>
          <w:lang w:eastAsia="ru-RU"/>
        </w:rPr>
        <w:t xml:space="preserve"> (правий і лівий береги вище і нижче автомобільного мосту на центральній дорозі, правий і лівий береги і нижче автомобільного мосту на дорозі до Скиту </w:t>
      </w:r>
      <w:proofErr w:type="spellStart"/>
      <w:r w:rsidRPr="002C35DA">
        <w:rPr>
          <w:rFonts w:ascii="Times New Roman" w:eastAsia="Times New Roman" w:hAnsi="Times New Roman" w:cs="Times New Roman"/>
          <w:bCs/>
          <w:sz w:val="28"/>
          <w:szCs w:val="28"/>
          <w:lang w:eastAsia="ru-RU"/>
        </w:rPr>
        <w:t>Манявського</w:t>
      </w:r>
      <w:proofErr w:type="spellEnd"/>
      <w:r w:rsidRPr="002C35DA">
        <w:rPr>
          <w:rFonts w:ascii="Times New Roman" w:eastAsia="Times New Roman" w:hAnsi="Times New Roman" w:cs="Times New Roman"/>
          <w:bCs/>
          <w:sz w:val="28"/>
          <w:szCs w:val="28"/>
          <w:lang w:eastAsia="ru-RU"/>
        </w:rPr>
        <w:t>), с. Маркова (правий і лівий береги вище і нижче автомобільного мосту на центральній дорозі до с. Монастирчани), с. Монастирчани (правий і лівий береги вище автомобільного мосту біля сільської ради і ЗОШ до села Маркова).</w:t>
      </w:r>
    </w:p>
    <w:p w:rsidR="009104C5" w:rsidRPr="002C35DA" w:rsidRDefault="009104C5" w:rsidP="009104C5">
      <w:pPr>
        <w:numPr>
          <w:ilvl w:val="0"/>
          <w:numId w:val="9"/>
        </w:numPr>
        <w:spacing w:after="100" w:afterAutospacing="1" w:line="240" w:lineRule="auto"/>
        <w:ind w:left="567" w:right="-457" w:firstLine="0"/>
        <w:jc w:val="both"/>
        <w:outlineLvl w:val="3"/>
        <w:rPr>
          <w:rFonts w:ascii="Times New Roman" w:eastAsia="Times New Roman" w:hAnsi="Times New Roman" w:cs="Times New Roman"/>
          <w:bCs/>
          <w:sz w:val="28"/>
          <w:szCs w:val="28"/>
          <w:lang w:eastAsia="ru-RU"/>
        </w:rPr>
      </w:pPr>
      <w:r w:rsidRPr="002C35DA">
        <w:rPr>
          <w:rFonts w:ascii="Times New Roman" w:eastAsia="Times New Roman" w:hAnsi="Times New Roman" w:cs="Times New Roman"/>
          <w:bCs/>
          <w:sz w:val="28"/>
          <w:szCs w:val="28"/>
          <w:lang w:eastAsia="ru-RU"/>
        </w:rPr>
        <w:t xml:space="preserve">Потічок Чорний  село Гута, потічок Клим село Пороги (урочище Клим), потічок Безіменний село Кричка (нижня частина села), потічок </w:t>
      </w:r>
      <w:proofErr w:type="spellStart"/>
      <w:r w:rsidRPr="002C35DA">
        <w:rPr>
          <w:rFonts w:ascii="Times New Roman" w:eastAsia="Times New Roman" w:hAnsi="Times New Roman" w:cs="Times New Roman"/>
          <w:bCs/>
          <w:sz w:val="28"/>
          <w:szCs w:val="28"/>
          <w:lang w:eastAsia="ru-RU"/>
        </w:rPr>
        <w:t>Раківчик</w:t>
      </w:r>
      <w:proofErr w:type="spellEnd"/>
      <w:r w:rsidRPr="002C35DA">
        <w:rPr>
          <w:rFonts w:ascii="Times New Roman" w:eastAsia="Times New Roman" w:hAnsi="Times New Roman" w:cs="Times New Roman"/>
          <w:bCs/>
          <w:sz w:val="28"/>
          <w:szCs w:val="28"/>
          <w:lang w:eastAsia="ru-RU"/>
        </w:rPr>
        <w:t xml:space="preserve"> (село </w:t>
      </w:r>
      <w:proofErr w:type="spellStart"/>
      <w:r w:rsidRPr="002C35DA">
        <w:rPr>
          <w:rFonts w:ascii="Times New Roman" w:eastAsia="Times New Roman" w:hAnsi="Times New Roman" w:cs="Times New Roman"/>
          <w:bCs/>
          <w:sz w:val="28"/>
          <w:szCs w:val="28"/>
          <w:lang w:eastAsia="ru-RU"/>
        </w:rPr>
        <w:t>Кривець</w:t>
      </w:r>
      <w:proofErr w:type="spellEnd"/>
      <w:r w:rsidRPr="002C35DA">
        <w:rPr>
          <w:rFonts w:ascii="Times New Roman" w:eastAsia="Times New Roman" w:hAnsi="Times New Roman" w:cs="Times New Roman"/>
          <w:bCs/>
          <w:sz w:val="28"/>
          <w:szCs w:val="28"/>
          <w:lang w:eastAsia="ru-RU"/>
        </w:rPr>
        <w:t xml:space="preserve"> село Раковець), потічок Солонець (вулиця Берегова, вулиця Замкова, вулиця Котляревського смт. Солотвин), потічок </w:t>
      </w:r>
      <w:proofErr w:type="spellStart"/>
      <w:r w:rsidRPr="002C35DA">
        <w:rPr>
          <w:rFonts w:ascii="Times New Roman" w:eastAsia="Times New Roman" w:hAnsi="Times New Roman" w:cs="Times New Roman"/>
          <w:bCs/>
          <w:sz w:val="28"/>
          <w:szCs w:val="28"/>
          <w:lang w:eastAsia="ru-RU"/>
        </w:rPr>
        <w:t>Люблінець</w:t>
      </w:r>
      <w:proofErr w:type="spellEnd"/>
      <w:r w:rsidRPr="002C35DA">
        <w:rPr>
          <w:rFonts w:ascii="Times New Roman" w:eastAsia="Times New Roman" w:hAnsi="Times New Roman" w:cs="Times New Roman"/>
          <w:bCs/>
          <w:sz w:val="28"/>
          <w:szCs w:val="28"/>
          <w:lang w:eastAsia="ru-RU"/>
        </w:rPr>
        <w:t xml:space="preserve"> (вулиця Молодіжна, вулиця Шептицького </w:t>
      </w:r>
      <w:r w:rsidRPr="002C35DA">
        <w:rPr>
          <w:rFonts w:ascii="Times New Roman" w:eastAsia="Times New Roman" w:hAnsi="Times New Roman" w:cs="Times New Roman"/>
          <w:bCs/>
          <w:sz w:val="28"/>
          <w:szCs w:val="28"/>
          <w:lang w:eastAsia="ru-RU"/>
        </w:rPr>
        <w:br/>
        <w:t xml:space="preserve">смт. Солотвин), потічок </w:t>
      </w:r>
      <w:proofErr w:type="spellStart"/>
      <w:r w:rsidRPr="002C35DA">
        <w:rPr>
          <w:rFonts w:ascii="Times New Roman" w:eastAsia="Times New Roman" w:hAnsi="Times New Roman" w:cs="Times New Roman"/>
          <w:bCs/>
          <w:sz w:val="28"/>
          <w:szCs w:val="28"/>
          <w:lang w:eastAsia="ru-RU"/>
        </w:rPr>
        <w:t>Луковець</w:t>
      </w:r>
      <w:proofErr w:type="spellEnd"/>
      <w:r w:rsidRPr="002C35DA">
        <w:rPr>
          <w:rFonts w:ascii="Times New Roman" w:eastAsia="Times New Roman" w:hAnsi="Times New Roman" w:cs="Times New Roman"/>
          <w:bCs/>
          <w:sz w:val="28"/>
          <w:szCs w:val="28"/>
          <w:lang w:eastAsia="ru-RU"/>
        </w:rPr>
        <w:t xml:space="preserve"> село </w:t>
      </w:r>
      <w:proofErr w:type="spellStart"/>
      <w:r w:rsidRPr="002C35DA">
        <w:rPr>
          <w:rFonts w:ascii="Times New Roman" w:eastAsia="Times New Roman" w:hAnsi="Times New Roman" w:cs="Times New Roman"/>
          <w:bCs/>
          <w:sz w:val="28"/>
          <w:szCs w:val="28"/>
          <w:lang w:eastAsia="ru-RU"/>
        </w:rPr>
        <w:t>Бабче</w:t>
      </w:r>
      <w:proofErr w:type="spellEnd"/>
      <w:r w:rsidRPr="002C35DA">
        <w:rPr>
          <w:rFonts w:ascii="Times New Roman" w:eastAsia="Times New Roman" w:hAnsi="Times New Roman" w:cs="Times New Roman"/>
          <w:bCs/>
          <w:sz w:val="28"/>
          <w:szCs w:val="28"/>
          <w:lang w:eastAsia="ru-RU"/>
        </w:rPr>
        <w:t xml:space="preserve"> (вулиця Чорновола).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ru-RU"/>
        </w:rPr>
      </w:pPr>
      <w:r w:rsidRPr="002C35DA">
        <w:rPr>
          <w:rFonts w:ascii="Times New Roman" w:eastAsia="Times New Roman" w:hAnsi="Times New Roman" w:cs="Times New Roman"/>
          <w:b/>
          <w:bCs/>
          <w:color w:val="000000"/>
          <w:sz w:val="28"/>
          <w:szCs w:val="28"/>
          <w:lang w:eastAsia="uk-UA"/>
        </w:rPr>
        <w:t>Водопостачання та водовідведення</w:t>
      </w:r>
      <w:r w:rsidRPr="002C35DA">
        <w:rPr>
          <w:rFonts w:ascii="Times New Roman" w:eastAsia="Times New Roman" w:hAnsi="Times New Roman" w:cs="Times New Roman"/>
          <w:color w:val="000000"/>
          <w:sz w:val="28"/>
          <w:szCs w:val="28"/>
          <w:lang w:eastAsia="uk-UA"/>
        </w:rPr>
        <w:t>: централізоване забезпечення жителів питною водою – не проводиться. Це пов’язано із відсутністю місцевого водопроводу. Населення користується водою із шахтних колодязів, свердловин, централізоване водопостачання відсутнє.</w:t>
      </w:r>
      <w:r w:rsidRPr="002C35DA">
        <w:rPr>
          <w:rFonts w:ascii="Times New Roman" w:eastAsia="Times New Roman" w:hAnsi="Times New Roman" w:cs="Times New Roman"/>
          <w:sz w:val="28"/>
          <w:szCs w:val="28"/>
          <w:lang w:eastAsia="uk-UA"/>
        </w:rPr>
        <w:t xml:space="preserve"> </w:t>
      </w:r>
      <w:r w:rsidRPr="002C35DA">
        <w:rPr>
          <w:rFonts w:ascii="Times New Roman" w:eastAsia="Times New Roman" w:hAnsi="Times New Roman" w:cs="Times New Roman"/>
          <w:color w:val="000000"/>
          <w:sz w:val="28"/>
          <w:szCs w:val="28"/>
          <w:lang w:eastAsia="uk-UA"/>
        </w:rPr>
        <w:t xml:space="preserve">В деяких сільських поселеннях є локальні водозабори на окремі об’єкти. </w:t>
      </w:r>
      <w:r w:rsidRPr="002C35DA">
        <w:rPr>
          <w:rFonts w:ascii="Times New Roman" w:eastAsia="Times New Roman" w:hAnsi="Times New Roman" w:cs="Times New Roman"/>
          <w:sz w:val="28"/>
          <w:szCs w:val="28"/>
          <w:lang w:eastAsia="ru-RU"/>
        </w:rPr>
        <w:t>Централізована каналізація в сільських населених пунктах і смт. Солотвин відсутня.</w:t>
      </w:r>
      <w:r w:rsidRPr="002C35DA">
        <w:rPr>
          <w:rFonts w:ascii="Times New Roman" w:eastAsia="Times New Roman" w:hAnsi="Times New Roman" w:cs="Times New Roman"/>
          <w:sz w:val="28"/>
          <w:szCs w:val="28"/>
          <w:lang w:eastAsia="uk-UA"/>
        </w:rPr>
        <w:t xml:space="preserve"> </w:t>
      </w:r>
      <w:r w:rsidRPr="002C35DA">
        <w:rPr>
          <w:rFonts w:ascii="Times New Roman" w:eastAsia="Times New Roman" w:hAnsi="Times New Roman" w:cs="Times New Roman"/>
          <w:sz w:val="28"/>
          <w:szCs w:val="28"/>
          <w:lang w:eastAsia="ru-RU"/>
        </w:rPr>
        <w:t>Решта населення користується септиками та дворовими туалетами з вигрібними ямами, які періодично очищаються. В смт. Солотвин  працюють очисні споруди типу «</w:t>
      </w:r>
      <w:proofErr w:type="spellStart"/>
      <w:r w:rsidRPr="002C35DA">
        <w:rPr>
          <w:rFonts w:ascii="Times New Roman" w:eastAsia="Times New Roman" w:hAnsi="Times New Roman" w:cs="Times New Roman"/>
          <w:sz w:val="28"/>
          <w:szCs w:val="28"/>
          <w:lang w:eastAsia="ru-RU"/>
        </w:rPr>
        <w:t>Біотал</w:t>
      </w:r>
      <w:proofErr w:type="spellEnd"/>
      <w:r w:rsidRPr="002C35DA">
        <w:rPr>
          <w:rFonts w:ascii="Times New Roman" w:eastAsia="Times New Roman" w:hAnsi="Times New Roman" w:cs="Times New Roman"/>
          <w:sz w:val="28"/>
          <w:szCs w:val="28"/>
          <w:lang w:eastAsia="ru-RU"/>
        </w:rPr>
        <w:t xml:space="preserve">-50», які приймають стоки тільки від об’єктів охорони здоров’я, </w:t>
      </w:r>
      <w:r w:rsidRPr="002C35DA">
        <w:rPr>
          <w:rFonts w:ascii="Times New Roman" w:eastAsia="Times New Roman" w:hAnsi="Times New Roman" w:cs="Times New Roman"/>
          <w:sz w:val="28"/>
          <w:szCs w:val="28"/>
          <w:lang w:eastAsia="uk-UA"/>
        </w:rPr>
        <w:t>освіти, ресторану «Пектораль».</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4. ПРИРОДНІ РЕСУРСИ, ТА ЗБЕРЕЖЕННЯ БІОРІЗНОМАНІТТЯ</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 xml:space="preserve">Рослинний світ. </w:t>
      </w:r>
      <w:r w:rsidRPr="002C35DA">
        <w:rPr>
          <w:rFonts w:ascii="Times New Roman" w:eastAsia="Times New Roman" w:hAnsi="Times New Roman" w:cs="Times New Roman"/>
          <w:sz w:val="28"/>
          <w:szCs w:val="28"/>
          <w:lang w:eastAsia="uk-UA"/>
        </w:rPr>
        <w:t xml:space="preserve">Ландшафтні та ґрунтово-кліматичні умови, геологічна будова та інші природні фактори Івано-Франківщини зумовили різноманітність та </w:t>
      </w:r>
      <w:r w:rsidRPr="002C35DA">
        <w:rPr>
          <w:rFonts w:ascii="Times New Roman" w:eastAsia="Times New Roman" w:hAnsi="Times New Roman" w:cs="Times New Roman"/>
          <w:sz w:val="28"/>
          <w:szCs w:val="28"/>
          <w:lang w:eastAsia="uk-UA"/>
        </w:rPr>
        <w:lastRenderedPageBreak/>
        <w:t>багатство рослинного світу. Флора області нараховує понад 1500 видів рослин, що складає більшу частину списку флори України. На заповідних територіях області охороняється понад 1000 видів судинних рослин, що становить майже 55 % всієї флори Українських Карпат.</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sz w:val="28"/>
          <w:szCs w:val="28"/>
          <w:lang w:eastAsia="uk-UA"/>
        </w:rPr>
        <w:t xml:space="preserve">На території громади зростає 361 судинна рослина, з яких 22 занесені до Червоної книги України, які потребують повної та часткової охорони. Особливими є Субальпійські луки, на них можна побачити багато рідкісних та цікавих видів : Тирлич крапчастий </w:t>
      </w:r>
      <w:proofErr w:type="spellStart"/>
      <w:r w:rsidRPr="002C35DA">
        <w:rPr>
          <w:rFonts w:ascii="Times New Roman" w:eastAsia="Times New Roman" w:hAnsi="Times New Roman" w:cs="Times New Roman"/>
          <w:sz w:val="28"/>
          <w:szCs w:val="28"/>
          <w:lang w:eastAsia="uk-UA"/>
        </w:rPr>
        <w:t>Gentiana</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punctata</w:t>
      </w:r>
      <w:proofErr w:type="spellEnd"/>
      <w:r w:rsidRPr="002C35DA">
        <w:rPr>
          <w:rFonts w:ascii="Times New Roman" w:eastAsia="Times New Roman" w:hAnsi="Times New Roman" w:cs="Times New Roman"/>
          <w:sz w:val="28"/>
          <w:szCs w:val="28"/>
          <w:lang w:eastAsia="uk-UA"/>
        </w:rPr>
        <w:t xml:space="preserve"> (L.), а також </w:t>
      </w:r>
      <w:proofErr w:type="spellStart"/>
      <w:r w:rsidRPr="002C35DA">
        <w:rPr>
          <w:rFonts w:ascii="Times New Roman" w:eastAsia="Times New Roman" w:hAnsi="Times New Roman" w:cs="Times New Roman"/>
          <w:sz w:val="28"/>
          <w:szCs w:val="28"/>
          <w:lang w:eastAsia="uk-UA"/>
        </w:rPr>
        <w:t>Gymnadenia</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conopsea</w:t>
      </w:r>
      <w:proofErr w:type="spellEnd"/>
      <w:r w:rsidRPr="002C35DA">
        <w:rPr>
          <w:rFonts w:ascii="Times New Roman" w:eastAsia="Times New Roman" w:hAnsi="Times New Roman" w:cs="Times New Roman"/>
          <w:sz w:val="28"/>
          <w:szCs w:val="28"/>
          <w:lang w:eastAsia="uk-UA"/>
        </w:rPr>
        <w:t xml:space="preserve"> (L.) R.Br. на полонинах рясне цвітіння </w:t>
      </w:r>
      <w:proofErr w:type="spellStart"/>
      <w:r w:rsidRPr="002C35DA">
        <w:rPr>
          <w:rFonts w:ascii="Times New Roman" w:eastAsia="Times New Roman" w:hAnsi="Times New Roman" w:cs="Times New Roman"/>
          <w:sz w:val="28"/>
          <w:szCs w:val="28"/>
          <w:lang w:eastAsia="uk-UA"/>
        </w:rPr>
        <w:t>Lilium</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martagon</w:t>
      </w:r>
      <w:proofErr w:type="spellEnd"/>
      <w:r w:rsidRPr="002C35DA">
        <w:rPr>
          <w:rFonts w:ascii="Times New Roman" w:eastAsia="Times New Roman" w:hAnsi="Times New Roman" w:cs="Times New Roman"/>
          <w:sz w:val="28"/>
          <w:szCs w:val="28"/>
          <w:lang w:eastAsia="uk-UA"/>
        </w:rPr>
        <w:t xml:space="preserve"> (L.). </w:t>
      </w:r>
      <w:proofErr w:type="spellStart"/>
      <w:r w:rsidRPr="002C35DA">
        <w:rPr>
          <w:rFonts w:ascii="Times New Roman" w:eastAsia="Times New Roman" w:hAnsi="Times New Roman" w:cs="Times New Roman"/>
          <w:sz w:val="28"/>
          <w:szCs w:val="28"/>
          <w:lang w:eastAsia="uk-UA"/>
        </w:rPr>
        <w:t>вздож</w:t>
      </w:r>
      <w:proofErr w:type="spellEnd"/>
      <w:r w:rsidRPr="002C35DA">
        <w:rPr>
          <w:rFonts w:ascii="Times New Roman" w:eastAsia="Times New Roman" w:hAnsi="Times New Roman" w:cs="Times New Roman"/>
          <w:sz w:val="28"/>
          <w:szCs w:val="28"/>
          <w:lang w:eastAsia="uk-UA"/>
        </w:rPr>
        <w:t xml:space="preserve"> галявин, річок цвіте </w:t>
      </w:r>
      <w:proofErr w:type="spellStart"/>
      <w:r w:rsidRPr="002C35DA">
        <w:rPr>
          <w:rFonts w:ascii="Times New Roman" w:eastAsia="Times New Roman" w:hAnsi="Times New Roman" w:cs="Times New Roman"/>
          <w:sz w:val="28"/>
          <w:szCs w:val="28"/>
          <w:lang w:eastAsia="uk-UA"/>
        </w:rPr>
        <w:t>Dactylorhiza</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fuchsii</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Druce</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Soo</w:t>
      </w:r>
      <w:proofErr w:type="spellEnd"/>
      <w:r w:rsidRPr="002C35DA">
        <w:rPr>
          <w:rFonts w:ascii="Times New Roman" w:eastAsia="Times New Roman" w:hAnsi="Times New Roman" w:cs="Times New Roman"/>
          <w:sz w:val="28"/>
          <w:szCs w:val="28"/>
          <w:lang w:eastAsia="uk-UA"/>
        </w:rPr>
        <w:t>.</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sz w:val="28"/>
          <w:szCs w:val="28"/>
          <w:lang w:eastAsia="uk-UA"/>
        </w:rPr>
        <w:t>Рішенням обласної ради від 23.04.2021 № 150-6/2021 «Про затвердження списку регіонально рідкісних і таких, що перебувають під загрозою зникнення, видів рослин на території Івано-Франківської області» затверджено перелік (412 видів рослин), рідкісних і таких, що перебувають під загрозою зникнення, видів рослин на території Івано-Франківської області</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 xml:space="preserve">Лісовий фонд </w:t>
      </w:r>
      <w:r w:rsidRPr="002C35DA">
        <w:rPr>
          <w:rFonts w:ascii="Times New Roman" w:eastAsia="Times New Roman" w:hAnsi="Times New Roman" w:cs="Times New Roman"/>
          <w:sz w:val="28"/>
          <w:szCs w:val="28"/>
          <w:lang w:eastAsia="uk-UA"/>
        </w:rPr>
        <w:t xml:space="preserve">Лісовий фонд Солотвинської селищної ради складає 25345,7314 га, з них лісові землі займають площу 24382,9877 га, чагарники 962,7437 га. На території громади здійснюють свою господарську діяльність ДП «Ліси України» Філія </w:t>
      </w:r>
      <w:proofErr w:type="spellStart"/>
      <w:r w:rsidRPr="002C35DA">
        <w:rPr>
          <w:rFonts w:ascii="Times New Roman" w:eastAsia="Times New Roman" w:hAnsi="Times New Roman" w:cs="Times New Roman"/>
          <w:sz w:val="28"/>
          <w:szCs w:val="28"/>
          <w:lang w:eastAsia="uk-UA"/>
        </w:rPr>
        <w:t>Осмолодське</w:t>
      </w:r>
      <w:proofErr w:type="spellEnd"/>
      <w:r w:rsidRPr="002C35DA">
        <w:rPr>
          <w:rFonts w:ascii="Times New Roman" w:eastAsia="Times New Roman" w:hAnsi="Times New Roman" w:cs="Times New Roman"/>
          <w:sz w:val="28"/>
          <w:szCs w:val="28"/>
          <w:lang w:eastAsia="uk-UA"/>
        </w:rPr>
        <w:t xml:space="preserve"> лісове господарство, яке має в постійному користуванні земельні ділянки лісогосподарського призначення 12 330,5139 га, комунальне підприємство «</w:t>
      </w:r>
      <w:proofErr w:type="spellStart"/>
      <w:r w:rsidRPr="002C35DA">
        <w:rPr>
          <w:rFonts w:ascii="Times New Roman" w:eastAsia="Times New Roman" w:hAnsi="Times New Roman" w:cs="Times New Roman"/>
          <w:sz w:val="28"/>
          <w:szCs w:val="28"/>
          <w:lang w:eastAsia="uk-UA"/>
        </w:rPr>
        <w:t>Богородчанський</w:t>
      </w:r>
      <w:proofErr w:type="spellEnd"/>
      <w:r w:rsidRPr="002C35DA">
        <w:rPr>
          <w:rFonts w:ascii="Times New Roman" w:eastAsia="Times New Roman" w:hAnsi="Times New Roman" w:cs="Times New Roman"/>
          <w:sz w:val="28"/>
          <w:szCs w:val="28"/>
          <w:lang w:eastAsia="uk-UA"/>
        </w:rPr>
        <w:t xml:space="preserve"> спеціалізований </w:t>
      </w:r>
      <w:proofErr w:type="spellStart"/>
      <w:r w:rsidRPr="002C35DA">
        <w:rPr>
          <w:rFonts w:ascii="Times New Roman" w:eastAsia="Times New Roman" w:hAnsi="Times New Roman" w:cs="Times New Roman"/>
          <w:sz w:val="28"/>
          <w:szCs w:val="28"/>
          <w:lang w:eastAsia="uk-UA"/>
        </w:rPr>
        <w:t>агролісгосп</w:t>
      </w:r>
      <w:proofErr w:type="spellEnd"/>
      <w:r w:rsidRPr="002C35DA">
        <w:rPr>
          <w:rFonts w:ascii="Times New Roman" w:eastAsia="Times New Roman" w:hAnsi="Times New Roman" w:cs="Times New Roman"/>
          <w:sz w:val="28"/>
          <w:szCs w:val="28"/>
          <w:lang w:eastAsia="uk-UA"/>
        </w:rPr>
        <w:t xml:space="preserve"> Івано-Франківської обласної ради» - 2086 га, Національний природній парк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- 10 866 га, у парку є праліси (1270 га), які належать до залишків оригінальної дикої природи Європи.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Вікова структура насаджень: середньовікові – 43%, молодняки – 34%, пристигаючі – 12%, стиглі і перестійні 51 – 11%. Розподіл вкритих лісовою рослинністю земель за складовими породами: хвойні – 59%, твердолистяні – 39%, </w:t>
      </w:r>
      <w:proofErr w:type="spellStart"/>
      <w:r w:rsidRPr="002C35DA">
        <w:rPr>
          <w:rFonts w:ascii="Times New Roman" w:eastAsia="Times New Roman" w:hAnsi="Times New Roman" w:cs="Times New Roman"/>
          <w:sz w:val="28"/>
          <w:szCs w:val="28"/>
          <w:lang w:eastAsia="uk-UA"/>
        </w:rPr>
        <w:t>мягколистяні</w:t>
      </w:r>
      <w:proofErr w:type="spellEnd"/>
      <w:r w:rsidRPr="002C35DA">
        <w:rPr>
          <w:rFonts w:ascii="Times New Roman" w:eastAsia="Times New Roman" w:hAnsi="Times New Roman" w:cs="Times New Roman"/>
          <w:sz w:val="28"/>
          <w:szCs w:val="28"/>
          <w:lang w:eastAsia="uk-UA"/>
        </w:rPr>
        <w:t xml:space="preserve"> – 2%.</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b/>
          <w:bCs/>
          <w:color w:val="000000"/>
          <w:sz w:val="28"/>
          <w:szCs w:val="28"/>
          <w:lang w:eastAsia="uk-UA"/>
        </w:rPr>
        <w:t>Зелені насадження</w:t>
      </w:r>
      <w:r w:rsidRPr="002C35DA">
        <w:rPr>
          <w:rFonts w:ascii="Times New Roman" w:eastAsia="Times New Roman" w:hAnsi="Times New Roman" w:cs="Times New Roman"/>
          <w:color w:val="000000"/>
          <w:sz w:val="28"/>
          <w:szCs w:val="28"/>
          <w:lang w:eastAsia="uk-UA"/>
        </w:rPr>
        <w:t>: представлені в основному лісовими насадженнями, а також приватними садами на присадибних ділянках, зеленими насадженнями спеціального призначення вздовж річок, потічків та струмків</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Розвиток зеленого господарства повинен виконуватися шляхом  створення локальних зелених зон: паркових насаджень, скверів.</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При формуванні озеленення громадського центру, створенні локальних зелених територій села рекомендуються породи дерев, характерні для даної зони – липа, дуб, клен, бук, горіх грецький, та фруктові дерева. Зелені насадження загального користування створюються внаслідок посадки дерев та кущів вздовж наявних та проектованих вулиць.</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bdr w:val="none" w:sz="0" w:space="0" w:color="auto" w:frame="1"/>
          <w:lang w:eastAsia="uk-UA"/>
        </w:rPr>
      </w:pPr>
      <w:r w:rsidRPr="002C35DA">
        <w:rPr>
          <w:rFonts w:ascii="Times New Roman" w:eastAsia="Times New Roman" w:hAnsi="Times New Roman" w:cs="Times New Roman"/>
          <w:color w:val="000000"/>
          <w:sz w:val="28"/>
          <w:szCs w:val="28"/>
          <w:lang w:eastAsia="uk-UA"/>
        </w:rPr>
        <w:t xml:space="preserve">Періодично виникає необхідність ліквідації наслідків буреломів та вітровалів. Також важливим є </w:t>
      </w:r>
      <w:r w:rsidRPr="002C35DA">
        <w:rPr>
          <w:rFonts w:ascii="Times New Roman" w:eastAsia="Times New Roman" w:hAnsi="Times New Roman" w:cs="Times New Roman"/>
          <w:color w:val="000000"/>
          <w:sz w:val="28"/>
          <w:szCs w:val="28"/>
          <w:bdr w:val="none" w:sz="0" w:space="0" w:color="auto" w:frame="1"/>
          <w:lang w:eastAsia="uk-UA"/>
        </w:rPr>
        <w:t xml:space="preserve">забезпечення обслуговування зелених насаджень в межах </w:t>
      </w:r>
      <w:r w:rsidRPr="002C35DA">
        <w:rPr>
          <w:rFonts w:ascii="Times New Roman" w:eastAsia="Times New Roman" w:hAnsi="Times New Roman" w:cs="Times New Roman"/>
          <w:color w:val="000000"/>
          <w:sz w:val="28"/>
          <w:szCs w:val="28"/>
          <w:bdr w:val="none" w:sz="0" w:space="0" w:color="auto" w:frame="1"/>
          <w:lang w:eastAsia="uk-UA"/>
        </w:rPr>
        <w:lastRenderedPageBreak/>
        <w:t>жилої забудови: прибудинкових територій житлових масивів, вздовж вулиць та доріг населених пунктів; оновлення наявних насаджень і створення нових скверів та зеленої зони; ліквідація сухостою, аварійних та уражених дерев. Також є актуальним догляд за полезахисними лісосмугами поза межами населених пунктів.</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5. ТВАРИННИЙ СВІТ</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 xml:space="preserve"> </w:t>
      </w:r>
      <w:r w:rsidRPr="002C35DA">
        <w:rPr>
          <w:rFonts w:ascii="Times New Roman" w:eastAsia="Times New Roman" w:hAnsi="Times New Roman" w:cs="Times New Roman"/>
          <w:sz w:val="28"/>
          <w:szCs w:val="28"/>
          <w:lang w:eastAsia="uk-UA"/>
        </w:rPr>
        <w:t>На території Солотвинської селищної ради ТГ поширені цінні види тварин – олень благородний, козуля європейська, кабан, куниця лісова, лисиця, заєць, білка. З птахів — тетерук, рябчик, дятел строкатий і чорний, синиця чорна і чубата, лелека чорна, орел, беркут, шишкар ялиновий, змієїд, багато співочих перелітних птахів. Плазунів і земноводних у горах не багато видів: саламандра плямиста, тритон карпатський, полоз лісовий, ящірка живородна, жаба прудка і квакша.</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На території Солотвинської селищної ради ТГ є проблема з утилізацією та захороненням трупів тварин, це  потребує швидкого вирішення через можливі екологічні, санітарні та соціальні наслідки. Недостатність дієвих систем для обробки та утилізації таких відходів, як трупи тварин, може спричиняти серйозне забруднення навколишнього середовища, поширення хвороб, а також негативно впливати на здоров'я населення та </w:t>
      </w:r>
      <w:proofErr w:type="spellStart"/>
      <w:r w:rsidRPr="002C35DA">
        <w:rPr>
          <w:rFonts w:ascii="Times New Roman" w:eastAsia="Times New Roman" w:hAnsi="Times New Roman" w:cs="Times New Roman"/>
          <w:sz w:val="28"/>
          <w:szCs w:val="28"/>
          <w:lang w:eastAsia="uk-UA"/>
        </w:rPr>
        <w:t>біорізноманіття</w:t>
      </w:r>
      <w:proofErr w:type="spellEnd"/>
      <w:r w:rsidRPr="002C35DA">
        <w:rPr>
          <w:rFonts w:ascii="Times New Roman" w:eastAsia="Times New Roman" w:hAnsi="Times New Roman" w:cs="Times New Roman"/>
          <w:sz w:val="28"/>
          <w:szCs w:val="28"/>
          <w:lang w:eastAsia="uk-UA"/>
        </w:rPr>
        <w:t>.</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b/>
          <w:bCs/>
          <w:sz w:val="28"/>
          <w:szCs w:val="28"/>
        </w:rPr>
        <w:t>5.1 Склад проблеми та обґрунтування необхідності її розв’язання</w:t>
      </w:r>
    </w:p>
    <w:p w:rsidR="009104C5" w:rsidRPr="002C35DA" w:rsidRDefault="009104C5" w:rsidP="009104C5">
      <w:pPr>
        <w:spacing w:before="120" w:after="120" w:line="240" w:lineRule="auto"/>
        <w:ind w:left="567" w:right="-457"/>
        <w:jc w:val="both"/>
        <w:rPr>
          <w:rFonts w:ascii="Times New Roman" w:eastAsia="Calibri" w:hAnsi="Times New Roman" w:cs="Times New Roman"/>
          <w:i/>
          <w:iCs/>
          <w:sz w:val="28"/>
          <w:szCs w:val="28"/>
        </w:rPr>
      </w:pPr>
      <w:r w:rsidRPr="002C35DA">
        <w:rPr>
          <w:rFonts w:ascii="Times New Roman" w:eastAsia="Calibri" w:hAnsi="Times New Roman" w:cs="Times New Roman"/>
          <w:i/>
          <w:iCs/>
          <w:sz w:val="28"/>
          <w:szCs w:val="28"/>
        </w:rPr>
        <w:t xml:space="preserve">Склад проблеми: </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Управління та захоронення трупів тварин є складною проблемою, яка потребує негайної уваги через свої потенційні екологічні, санітарні та громадські наслідки. Відсутність ефективних систем утилізації та обробки тваринних відходів, таких як трупи тварин, може призводити до серйозного забруднення довкілля та поширення захворювань, а також впливати на здоров'я людей та </w:t>
      </w:r>
      <w:proofErr w:type="spellStart"/>
      <w:r w:rsidRPr="002C35DA">
        <w:rPr>
          <w:rFonts w:ascii="Times New Roman" w:eastAsia="Calibri" w:hAnsi="Times New Roman" w:cs="Times New Roman"/>
          <w:sz w:val="28"/>
          <w:szCs w:val="28"/>
        </w:rPr>
        <w:t>біорізноманіття</w:t>
      </w:r>
      <w:proofErr w:type="spellEnd"/>
      <w:r w:rsidRPr="002C35DA">
        <w:rPr>
          <w:rFonts w:ascii="Times New Roman" w:eastAsia="Calibri" w:hAnsi="Times New Roman" w:cs="Times New Roman"/>
          <w:sz w:val="28"/>
          <w:szCs w:val="28"/>
        </w:rPr>
        <w:t>.</w:t>
      </w:r>
    </w:p>
    <w:p w:rsidR="009104C5" w:rsidRPr="002C35DA" w:rsidRDefault="009104C5" w:rsidP="009104C5">
      <w:pPr>
        <w:spacing w:before="120" w:after="120" w:line="240" w:lineRule="auto"/>
        <w:ind w:left="567" w:right="-457"/>
        <w:jc w:val="both"/>
        <w:rPr>
          <w:rFonts w:ascii="Times New Roman" w:eastAsia="Calibri" w:hAnsi="Times New Roman" w:cs="Times New Roman"/>
          <w:i/>
          <w:iCs/>
          <w:sz w:val="28"/>
          <w:szCs w:val="28"/>
        </w:rPr>
      </w:pPr>
      <w:r w:rsidRPr="002C35DA">
        <w:rPr>
          <w:rFonts w:ascii="Times New Roman" w:eastAsia="Calibri" w:hAnsi="Times New Roman" w:cs="Times New Roman"/>
          <w:i/>
          <w:iCs/>
          <w:sz w:val="28"/>
          <w:szCs w:val="28"/>
        </w:rPr>
        <w:t xml:space="preserve">Обґрунтування необхідності розв’язання: </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1) Проблема управління тваринними трупами потребує комплексного підходу, який охоплює не лише регулювання процесів захоронення, а й встановлення стандартів, моніторингу, навчання та інформаційно-просвітницьких заходів. </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2) Ефективне управління та контроль, дозволяє встановити ефективні процедури управління та контролю за процесом захоронення тваринних трупів. Це містить в </w:t>
      </w:r>
      <w:bookmarkStart w:id="1" w:name="_Hlk166494444"/>
      <w:r w:rsidRPr="002C35DA">
        <w:rPr>
          <w:rFonts w:ascii="Times New Roman" w:eastAsia="Calibri" w:hAnsi="Times New Roman" w:cs="Times New Roman"/>
          <w:sz w:val="28"/>
          <w:szCs w:val="28"/>
        </w:rPr>
        <w:t>собі розробку стандартів, систем моніторингу та контролю за додержанням правил, що допомагають уникнути негативних наслідків для навколишнього середовища та здоров'я громади.</w:t>
      </w:r>
    </w:p>
    <w:bookmarkEnd w:id="1"/>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3)  Підвищення свідомості та навчання дозволяє впроваджувати </w:t>
      </w:r>
      <w:bookmarkStart w:id="2" w:name="_Hlk166494464"/>
      <w:r w:rsidRPr="002C35DA">
        <w:rPr>
          <w:rFonts w:ascii="Times New Roman" w:eastAsia="Calibri" w:hAnsi="Times New Roman" w:cs="Times New Roman"/>
          <w:sz w:val="28"/>
          <w:szCs w:val="28"/>
        </w:rPr>
        <w:t xml:space="preserve">інформаційно-просвітницькі кампанії серед мешканців та навчальні заходи для працівників, </w:t>
      </w:r>
      <w:bookmarkEnd w:id="2"/>
      <w:r w:rsidRPr="002C35DA">
        <w:rPr>
          <w:rFonts w:ascii="Times New Roman" w:eastAsia="Calibri" w:hAnsi="Times New Roman" w:cs="Times New Roman"/>
          <w:sz w:val="28"/>
          <w:szCs w:val="28"/>
        </w:rPr>
        <w:t>що здійснюють захоронення тварин. Це сприяє підвищенню свідомості про важливість відповідального та екологічно безпечного захоронення тварин, а також підготовці кваліфікованих кадрів для виконання цих завдань.</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lastRenderedPageBreak/>
        <w:t>4</w:t>
      </w:r>
      <w:bookmarkStart w:id="3" w:name="_Hlk166494478"/>
      <w:r w:rsidRPr="002C35DA">
        <w:rPr>
          <w:rFonts w:ascii="Times New Roman" w:eastAsia="Calibri" w:hAnsi="Times New Roman" w:cs="Times New Roman"/>
          <w:sz w:val="28"/>
          <w:szCs w:val="28"/>
        </w:rPr>
        <w:t>)  Сталість та надійність управління та контролю за процесом захоронення тваринних трупів</w:t>
      </w:r>
      <w:bookmarkEnd w:id="3"/>
      <w:r w:rsidRPr="002C35DA">
        <w:rPr>
          <w:rFonts w:ascii="Times New Roman" w:eastAsia="Calibri" w:hAnsi="Times New Roman" w:cs="Times New Roman"/>
          <w:sz w:val="28"/>
          <w:szCs w:val="28"/>
        </w:rPr>
        <w:t>. Це важливо для забезпечення постійного дотримання норм та правил, а також для попередження можливих екологічних та санітарних криз.</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Також важливо </w:t>
      </w:r>
      <w:bookmarkStart w:id="4" w:name="_Hlk166494632"/>
      <w:r w:rsidRPr="002C35DA">
        <w:rPr>
          <w:rFonts w:ascii="Times New Roman" w:eastAsia="Calibri" w:hAnsi="Times New Roman" w:cs="Times New Roman"/>
          <w:sz w:val="28"/>
          <w:szCs w:val="28"/>
        </w:rPr>
        <w:t>звернути увагу на такий аспект як здоров'я населення та збалансоване використання природних ресурсів</w:t>
      </w:r>
      <w:bookmarkEnd w:id="4"/>
      <w:r w:rsidRPr="002C35DA">
        <w:rPr>
          <w:rFonts w:ascii="Times New Roman" w:eastAsia="Calibri" w:hAnsi="Times New Roman" w:cs="Times New Roman"/>
          <w:sz w:val="28"/>
          <w:szCs w:val="28"/>
        </w:rPr>
        <w:t>. Недоліки у використанні та утилізації тваринних відходів можуть призводити до поширення захворювань серед тварин та людей через контакт зі забрудненим довкіллям та продуктами. Раціональне використання та утилізація тваринних відходів може допомогти у збереженні природних ресурсів та підтримці екологічно збалансованих систем.</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Серед важливих факторів і проблем щодо знешкодження та захоронення трупів тварин на території Солотвинської селищної ради  потрібно виділити такі:</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1) Нормативно-правові: недостатність або відсутність належного законодавства. Це може призводити до відсутності стандартів, правил та процедур, необхідних для забезпечення ефективного та безпечного управління цими відходами. </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Потреба у створенні та вдосконаленні законодавчої бази,  розв'язання проблеми вимагає розробки та впровадження належного нормативно-правової бази, яка би визначала стандарти, правила та вимоги щодо управління та захоронення тваринних трупів. Це забезпечить законність та регулювання процесу, що є важливим для збереження екологічної та санітарної безпеки.</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2) Організаційно-економічні: витрати на управління та захоронення, недостатньо організовані або неефективні процеси управління та захоронення тваринних трупів можуть призводити до надмірних витрат для влади та приватних підприємств. Це </w:t>
      </w:r>
      <w:r w:rsidRPr="002C35DA">
        <w:rPr>
          <w:rFonts w:ascii="Times New Roman" w:eastAsia="Times New Roman" w:hAnsi="Times New Roman" w:cs="Times New Roman"/>
          <w:color w:val="000000"/>
          <w:sz w:val="28"/>
          <w:szCs w:val="28"/>
          <w:lang w:eastAsia="uk-UA"/>
        </w:rPr>
        <w:t xml:space="preserve">охоплює </w:t>
      </w:r>
      <w:r w:rsidRPr="002C35DA">
        <w:rPr>
          <w:rFonts w:ascii="Times New Roman" w:eastAsia="Calibri" w:hAnsi="Times New Roman" w:cs="Times New Roman"/>
          <w:sz w:val="28"/>
          <w:szCs w:val="28"/>
        </w:rPr>
        <w:t>витрати на обробку, транспортування та захоронення трупів, а також на відшкодування можливих збитків через неналежне управління.</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3) Потенційні економічні втрати: недбале управління тваринними трупами може призвести до економічних втрат через забруднення довкілля, штрафи за порушення законодавства, а також через негативний вплив на сільське господарство та туризм.</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4) Виробничо-технічні: відсутність або застарілість технологій управління та захоронення тваринних трупів може призводити до неефективного використання ресурсів та забруднення навколишнього середовища.</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Розв'язання проблеми вимагає впровадження сучасних технологій та інноваційних підходів до управління та обробки тваринних трупів. Це містить в с</w:t>
      </w:r>
      <w:r w:rsidRPr="002C35DA">
        <w:rPr>
          <w:rFonts w:ascii="Times New Roman" w:eastAsia="Times New Roman" w:hAnsi="Times New Roman" w:cs="Times New Roman"/>
          <w:color w:val="000000"/>
          <w:sz w:val="28"/>
          <w:szCs w:val="28"/>
          <w:lang w:eastAsia="uk-UA"/>
        </w:rPr>
        <w:t xml:space="preserve">обі </w:t>
      </w:r>
      <w:r w:rsidRPr="002C35DA">
        <w:rPr>
          <w:rFonts w:ascii="Times New Roman" w:eastAsia="Calibri" w:hAnsi="Times New Roman" w:cs="Times New Roman"/>
          <w:sz w:val="28"/>
          <w:szCs w:val="28"/>
        </w:rPr>
        <w:t>розробку та впровадження ефективних систем збирання, транспортування та обробки трупів, що забезпечать безпеку та екологічність процесу.</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b/>
          <w:bCs/>
          <w:sz w:val="28"/>
          <w:szCs w:val="28"/>
        </w:rPr>
        <w:t>5.2 Обґрунтування шляхів і способів розв’язання проблеми</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lastRenderedPageBreak/>
        <w:t>Проблема управління та захоронення трупів тварин потребує комплексного підходу для забезпечення екологічної та санітарної безпеки, а також ефективного використання ресурсів. Для досягнення цих цілей необхідно:</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1) </w:t>
      </w:r>
      <w:bookmarkStart w:id="5" w:name="_Hlk166494657"/>
      <w:r w:rsidRPr="002C35DA">
        <w:rPr>
          <w:rFonts w:ascii="Times New Roman" w:eastAsia="Calibri" w:hAnsi="Times New Roman" w:cs="Times New Roman"/>
          <w:sz w:val="28"/>
          <w:szCs w:val="28"/>
        </w:rPr>
        <w:t>Розробити та впровадити належне законодавство та нормативно-правову базу, яка визначатиме стандарти, правила та вимоги щодо управління та захоронення тваринних трупів</w:t>
      </w:r>
      <w:bookmarkEnd w:id="5"/>
      <w:r w:rsidRPr="002C35DA">
        <w:rPr>
          <w:rFonts w:ascii="Times New Roman" w:eastAsia="Calibri" w:hAnsi="Times New Roman" w:cs="Times New Roman"/>
          <w:sz w:val="28"/>
          <w:szCs w:val="28"/>
        </w:rPr>
        <w:t>. Це забезпечить правову стабільність та регулювання процесу, сприяючи збереженню екологічної та санітарної безпеки.</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2) </w:t>
      </w:r>
      <w:bookmarkStart w:id="6" w:name="_Hlk166496521"/>
      <w:r w:rsidRPr="002C35DA">
        <w:rPr>
          <w:rFonts w:ascii="Times New Roman" w:eastAsia="Calibri" w:hAnsi="Times New Roman" w:cs="Times New Roman"/>
          <w:sz w:val="28"/>
          <w:szCs w:val="28"/>
        </w:rPr>
        <w:t>Організувати систему збору та переробки трупів тварин на місцях їх виникнення за допомогою простих та доступних інструментів</w:t>
      </w:r>
      <w:bookmarkEnd w:id="6"/>
      <w:r w:rsidRPr="002C35DA">
        <w:rPr>
          <w:rFonts w:ascii="Times New Roman" w:eastAsia="Calibri" w:hAnsi="Times New Roman" w:cs="Times New Roman"/>
          <w:sz w:val="28"/>
          <w:szCs w:val="28"/>
        </w:rPr>
        <w:t>.</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3) </w:t>
      </w:r>
      <w:bookmarkStart w:id="7" w:name="_Hlk166496528"/>
      <w:r w:rsidRPr="002C35DA">
        <w:rPr>
          <w:rFonts w:ascii="Times New Roman" w:eastAsia="Calibri" w:hAnsi="Times New Roman" w:cs="Times New Roman"/>
          <w:sz w:val="28"/>
          <w:szCs w:val="28"/>
        </w:rPr>
        <w:t>Провести інформаційно-просвітницькі кампанії серед мешканців та навчальні заходи для працівників, що здійснюють захоронення тварин, з метою підвищення свідомості про важливість відповідального та екологічно безпечного захоронення тварин.</w:t>
      </w:r>
    </w:p>
    <w:bookmarkEnd w:id="7"/>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4</w:t>
      </w:r>
      <w:bookmarkStart w:id="8" w:name="_Hlk166497047"/>
      <w:r w:rsidRPr="002C35DA">
        <w:rPr>
          <w:rFonts w:ascii="Times New Roman" w:eastAsia="Calibri" w:hAnsi="Times New Roman" w:cs="Times New Roman"/>
          <w:sz w:val="28"/>
          <w:szCs w:val="28"/>
        </w:rPr>
        <w:t>) Забезпечити постійний моніторинг та контроль за виконанням встановлених стандартів та правил управління та захоронення тваринних трупів для попередження негативних екологічних та санітарних наслідків.</w:t>
      </w:r>
      <w:bookmarkEnd w:id="8"/>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5) </w:t>
      </w:r>
      <w:bookmarkStart w:id="9" w:name="_Hlk166497555"/>
      <w:r w:rsidRPr="002C35DA">
        <w:rPr>
          <w:rFonts w:ascii="Times New Roman" w:eastAsia="Calibri" w:hAnsi="Times New Roman" w:cs="Times New Roman"/>
          <w:sz w:val="28"/>
          <w:szCs w:val="28"/>
        </w:rPr>
        <w:t>Розробити ефективні механізми співпраці між владою, громадськістю та приватним сектором для забезпечення сталості та надійності управління та контролю за процесом захоронення тваринних трупів.</w:t>
      </w:r>
      <w:bookmarkEnd w:id="9"/>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Для поліпшення екологічної ситуації в громаді можна запропонувати та розглянути наступні методи утилізації та захоронення тваринних трупів: </w:t>
      </w:r>
    </w:p>
    <w:p w:rsidR="009104C5" w:rsidRPr="002C35DA" w:rsidRDefault="009104C5" w:rsidP="009104C5">
      <w:pPr>
        <w:numPr>
          <w:ilvl w:val="0"/>
          <w:numId w:val="12"/>
        </w:numPr>
        <w:spacing w:before="120" w:after="120" w:line="240" w:lineRule="auto"/>
        <w:ind w:left="567" w:right="-457" w:firstLine="0"/>
        <w:contextualSpacing/>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 Компостування: трупи тварин можна використовувати для виробництва компосту, що є ефективним методом використання органічних матеріалів. Потрібно організувати місцеву програму компостування, де мешканці мають можливість віддавати трупи тварин для переробки на компост.</w:t>
      </w:r>
    </w:p>
    <w:p w:rsidR="009104C5" w:rsidRPr="002C35DA" w:rsidRDefault="009104C5" w:rsidP="009104C5">
      <w:pPr>
        <w:numPr>
          <w:ilvl w:val="0"/>
          <w:numId w:val="13"/>
        </w:numPr>
        <w:spacing w:before="120" w:after="120" w:line="240" w:lineRule="auto"/>
        <w:ind w:left="567" w:right="-457" w:firstLine="0"/>
        <w:contextualSpacing/>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 Термічне перероблення: використання термічного перероблення, такого як кремація або піроліз, може бути швидким і ефективним методом утилізації тваринних трупів. Цей підхід може вимагати інвестицій у спеціальне обладнання, але в довгостроковій перспективі може бути ефективним з екологічної точки зору.</w:t>
      </w:r>
    </w:p>
    <w:p w:rsidR="009104C5" w:rsidRPr="002C35DA" w:rsidRDefault="009104C5" w:rsidP="009104C5">
      <w:pPr>
        <w:numPr>
          <w:ilvl w:val="0"/>
          <w:numId w:val="13"/>
        </w:numPr>
        <w:spacing w:before="120" w:after="120" w:line="240" w:lineRule="auto"/>
        <w:ind w:left="567" w:right="-457" w:firstLine="0"/>
        <w:contextualSpacing/>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 Натуральне розкладання: якщо є доступ до відкритих просторів або земельних ділянок, трупи тварин можуть природним шляхом розкладатися на відкритому повітрі. Цей метод може бути менш витратним з точки зору обладнання, але вимагає належного контролю за процесом, щоб уникнути негативного впливу на довкілля та здоров'я громади.</w:t>
      </w:r>
    </w:p>
    <w:p w:rsidR="009104C5" w:rsidRPr="002C35DA" w:rsidRDefault="009104C5" w:rsidP="009104C5">
      <w:pPr>
        <w:spacing w:before="120" w:after="120" w:line="240" w:lineRule="auto"/>
        <w:ind w:left="567" w:right="-457"/>
        <w:jc w:val="both"/>
        <w:rPr>
          <w:rFonts w:ascii="Times New Roman" w:eastAsia="Calibri" w:hAnsi="Times New Roman" w:cs="Times New Roman"/>
          <w:sz w:val="28"/>
          <w:szCs w:val="28"/>
        </w:rPr>
      </w:pP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6. ПРИРОДНО-ЗАПОВІДНИЙ ФОНД</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Загальна площа 11799,9 га – 12 об'єктів, в тому числі 2 загальнодержавного значення – 11228 га:</w:t>
      </w:r>
    </w:p>
    <w:p w:rsidR="009104C5" w:rsidRPr="002C35DA" w:rsidRDefault="009104C5" w:rsidP="009104C5">
      <w:pPr>
        <w:numPr>
          <w:ilvl w:val="0"/>
          <w:numId w:val="10"/>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Національний Природний парк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- 10866 га</w:t>
      </w:r>
    </w:p>
    <w:p w:rsidR="009104C5" w:rsidRPr="002C35DA" w:rsidRDefault="009104C5" w:rsidP="009104C5">
      <w:pPr>
        <w:numPr>
          <w:ilvl w:val="0"/>
          <w:numId w:val="10"/>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lastRenderedPageBreak/>
        <w:t xml:space="preserve">Лісовий заказник загальнодержавного значення «Скит </w:t>
      </w:r>
      <w:proofErr w:type="spellStart"/>
      <w:r w:rsidRPr="002C35DA">
        <w:rPr>
          <w:rFonts w:ascii="Times New Roman" w:eastAsia="Times New Roman" w:hAnsi="Times New Roman" w:cs="Times New Roman"/>
          <w:sz w:val="28"/>
          <w:szCs w:val="28"/>
          <w:lang w:eastAsia="uk-UA"/>
        </w:rPr>
        <w:t>Манявський</w:t>
      </w:r>
      <w:proofErr w:type="spellEnd"/>
      <w:r w:rsidRPr="002C35DA">
        <w:rPr>
          <w:rFonts w:ascii="Times New Roman" w:eastAsia="Times New Roman" w:hAnsi="Times New Roman" w:cs="Times New Roman"/>
          <w:sz w:val="28"/>
          <w:szCs w:val="28"/>
          <w:lang w:eastAsia="uk-UA"/>
        </w:rPr>
        <w:t xml:space="preserve">» - 362 га;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Об’єкти місцевого значення, загальна площа яких становить 933,9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Ботанічна пам'ятка природи «</w:t>
      </w:r>
      <w:proofErr w:type="spellStart"/>
      <w:r w:rsidRPr="002C35DA">
        <w:rPr>
          <w:rFonts w:ascii="Times New Roman" w:eastAsia="Times New Roman" w:hAnsi="Times New Roman" w:cs="Times New Roman"/>
          <w:sz w:val="28"/>
          <w:szCs w:val="28"/>
          <w:lang w:eastAsia="uk-UA"/>
        </w:rPr>
        <w:t>Солотвинські</w:t>
      </w:r>
      <w:proofErr w:type="spellEnd"/>
      <w:r w:rsidRPr="002C35DA">
        <w:rPr>
          <w:rFonts w:ascii="Times New Roman" w:eastAsia="Times New Roman" w:hAnsi="Times New Roman" w:cs="Times New Roman"/>
          <w:sz w:val="28"/>
          <w:szCs w:val="28"/>
          <w:lang w:eastAsia="uk-UA"/>
        </w:rPr>
        <w:t xml:space="preserve"> Дуби» - 0,29 га;</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Гідрологічна пам'ятка природи «</w:t>
      </w:r>
      <w:proofErr w:type="spellStart"/>
      <w:r w:rsidRPr="002C35DA">
        <w:rPr>
          <w:rFonts w:ascii="Times New Roman" w:eastAsia="Times New Roman" w:hAnsi="Times New Roman" w:cs="Times New Roman"/>
          <w:sz w:val="28"/>
          <w:szCs w:val="28"/>
          <w:lang w:eastAsia="uk-UA"/>
        </w:rPr>
        <w:t>Манявський</w:t>
      </w:r>
      <w:proofErr w:type="spellEnd"/>
      <w:r w:rsidRPr="002C35DA">
        <w:rPr>
          <w:rFonts w:ascii="Times New Roman" w:eastAsia="Times New Roman" w:hAnsi="Times New Roman" w:cs="Times New Roman"/>
          <w:sz w:val="28"/>
          <w:szCs w:val="28"/>
          <w:lang w:eastAsia="uk-UA"/>
        </w:rPr>
        <w:t xml:space="preserve"> водоспад» - 1,0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Лісовий заказник «</w:t>
      </w:r>
      <w:proofErr w:type="spellStart"/>
      <w:r w:rsidRPr="002C35DA">
        <w:rPr>
          <w:rFonts w:ascii="Times New Roman" w:eastAsia="Times New Roman" w:hAnsi="Times New Roman" w:cs="Times New Roman"/>
          <w:sz w:val="28"/>
          <w:szCs w:val="28"/>
          <w:lang w:eastAsia="uk-UA"/>
        </w:rPr>
        <w:t>Комарники</w:t>
      </w:r>
      <w:proofErr w:type="spellEnd"/>
      <w:r w:rsidRPr="002C35DA">
        <w:rPr>
          <w:rFonts w:ascii="Times New Roman" w:eastAsia="Times New Roman" w:hAnsi="Times New Roman" w:cs="Times New Roman"/>
          <w:sz w:val="28"/>
          <w:szCs w:val="28"/>
          <w:lang w:eastAsia="uk-UA"/>
        </w:rPr>
        <w:t>» - 175 га;</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Ботанічна пам'ятка природи «Тис ягідний» - 0,01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Ботанічна пам'ятка природи «Бір Величків» - 2,1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Лісовий заказник «</w:t>
      </w:r>
      <w:proofErr w:type="spellStart"/>
      <w:r w:rsidRPr="002C35DA">
        <w:rPr>
          <w:rFonts w:ascii="Times New Roman" w:eastAsia="Times New Roman" w:hAnsi="Times New Roman" w:cs="Times New Roman"/>
          <w:sz w:val="28"/>
          <w:szCs w:val="28"/>
          <w:lang w:eastAsia="uk-UA"/>
        </w:rPr>
        <w:t>Шиворіс</w:t>
      </w:r>
      <w:proofErr w:type="spellEnd"/>
      <w:r w:rsidRPr="002C35DA">
        <w:rPr>
          <w:rFonts w:ascii="Times New Roman" w:eastAsia="Times New Roman" w:hAnsi="Times New Roman" w:cs="Times New Roman"/>
          <w:sz w:val="28"/>
          <w:szCs w:val="28"/>
          <w:lang w:eastAsia="uk-UA"/>
        </w:rPr>
        <w:t xml:space="preserve">» - 50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Лісовий заказник «</w:t>
      </w:r>
      <w:proofErr w:type="spellStart"/>
      <w:r w:rsidRPr="002C35DA">
        <w:rPr>
          <w:rFonts w:ascii="Times New Roman" w:eastAsia="Times New Roman" w:hAnsi="Times New Roman" w:cs="Times New Roman"/>
          <w:sz w:val="28"/>
          <w:szCs w:val="28"/>
          <w:lang w:eastAsia="uk-UA"/>
        </w:rPr>
        <w:t>Сумарин</w:t>
      </w:r>
      <w:proofErr w:type="spellEnd"/>
      <w:r w:rsidRPr="002C35DA">
        <w:rPr>
          <w:rFonts w:ascii="Times New Roman" w:eastAsia="Times New Roman" w:hAnsi="Times New Roman" w:cs="Times New Roman"/>
          <w:sz w:val="28"/>
          <w:szCs w:val="28"/>
          <w:lang w:eastAsia="uk-UA"/>
        </w:rPr>
        <w:t xml:space="preserve">» - 185 га; </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Заповідне урочище «Бистрий» - 187 га;</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Лісовий заказник «Погорілець» - 220,5 га;</w:t>
      </w:r>
    </w:p>
    <w:p w:rsidR="009104C5" w:rsidRPr="002C35DA" w:rsidRDefault="009104C5" w:rsidP="009104C5">
      <w:pPr>
        <w:numPr>
          <w:ilvl w:val="0"/>
          <w:numId w:val="8"/>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Заповідне урочище «</w:t>
      </w:r>
      <w:proofErr w:type="spellStart"/>
      <w:r w:rsidRPr="002C35DA">
        <w:rPr>
          <w:rFonts w:ascii="Times New Roman" w:eastAsia="Times New Roman" w:hAnsi="Times New Roman" w:cs="Times New Roman"/>
          <w:sz w:val="28"/>
          <w:szCs w:val="28"/>
          <w:lang w:eastAsia="uk-UA"/>
        </w:rPr>
        <w:t>Люблінець</w:t>
      </w:r>
      <w:proofErr w:type="spellEnd"/>
      <w:r w:rsidRPr="002C35DA">
        <w:rPr>
          <w:rFonts w:ascii="Times New Roman" w:eastAsia="Times New Roman" w:hAnsi="Times New Roman" w:cs="Times New Roman"/>
          <w:sz w:val="28"/>
          <w:szCs w:val="28"/>
          <w:lang w:eastAsia="uk-UA"/>
        </w:rPr>
        <w:t xml:space="preserve">» - 113 га;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У зв’язку з тим, що дію численних факторів, які впливають на природне середовище неможливо оцінити кількісно. Оцінка впливу здійснюється по окремих компонентах навколишнього середовища.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Повітряне</w:t>
      </w:r>
      <w:r w:rsidRPr="002C35DA">
        <w:rPr>
          <w:rFonts w:ascii="Times New Roman" w:eastAsia="Times New Roman" w:hAnsi="Times New Roman" w:cs="Times New Roman"/>
          <w:sz w:val="28"/>
          <w:szCs w:val="28"/>
          <w:lang w:eastAsia="uk-UA"/>
        </w:rPr>
        <w:t xml:space="preserve"> </w:t>
      </w:r>
      <w:r w:rsidRPr="002C35DA">
        <w:rPr>
          <w:rFonts w:ascii="Times New Roman" w:eastAsia="Times New Roman" w:hAnsi="Times New Roman" w:cs="Times New Roman"/>
          <w:b/>
          <w:bCs/>
          <w:sz w:val="28"/>
          <w:szCs w:val="28"/>
          <w:lang w:eastAsia="uk-UA"/>
        </w:rPr>
        <w:t>середовище</w:t>
      </w:r>
      <w:r w:rsidRPr="002C35DA">
        <w:rPr>
          <w:rFonts w:ascii="Times New Roman" w:eastAsia="Times New Roman" w:hAnsi="Times New Roman" w:cs="Times New Roman"/>
          <w:sz w:val="28"/>
          <w:szCs w:val="28"/>
          <w:lang w:eastAsia="uk-UA"/>
        </w:rPr>
        <w:t xml:space="preserve">. Найсуттєвішим є вплив на повітряне середовище. Компенсаційними заходами є створення територій зелених насаджень обмеженого користування Відсутність у громаді великих промислових підприємств сприяє якості атмосферного повітря. Забруднення атмосферного повітря, окрім прямої шкоди здоров’ю людей, негативно впливає на рослинний та тваринний світ, а саме призводить до уповільнення росту зелених насаджень, зменшення чисельності видів рослин та тварин, зниження родючості ґрунтів та якості сільськогосподарської продукції. Повітряне середовище на території громади має високу здатність до самоочищення.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Водне</w:t>
      </w:r>
      <w:r w:rsidRPr="002C35DA">
        <w:rPr>
          <w:rFonts w:ascii="Times New Roman" w:eastAsia="Times New Roman" w:hAnsi="Times New Roman" w:cs="Times New Roman"/>
          <w:sz w:val="28"/>
          <w:szCs w:val="28"/>
          <w:lang w:eastAsia="uk-UA"/>
        </w:rPr>
        <w:t xml:space="preserve"> </w:t>
      </w:r>
      <w:r w:rsidRPr="002C35DA">
        <w:rPr>
          <w:rFonts w:ascii="Times New Roman" w:eastAsia="Times New Roman" w:hAnsi="Times New Roman" w:cs="Times New Roman"/>
          <w:b/>
          <w:bCs/>
          <w:sz w:val="28"/>
          <w:szCs w:val="28"/>
          <w:lang w:eastAsia="uk-UA"/>
        </w:rPr>
        <w:t>середовище</w:t>
      </w:r>
      <w:r w:rsidRPr="002C35DA">
        <w:rPr>
          <w:rFonts w:ascii="Times New Roman" w:eastAsia="Times New Roman" w:hAnsi="Times New Roman" w:cs="Times New Roman"/>
          <w:sz w:val="28"/>
          <w:szCs w:val="28"/>
          <w:lang w:eastAsia="uk-UA"/>
        </w:rPr>
        <w:t xml:space="preserve">. Забезпечення захисту територій від шкідливої дії вод, вирішення потребує питання проведення </w:t>
      </w:r>
      <w:proofErr w:type="spellStart"/>
      <w:r w:rsidRPr="002C35DA">
        <w:rPr>
          <w:rFonts w:ascii="Times New Roman" w:eastAsia="Times New Roman" w:hAnsi="Times New Roman" w:cs="Times New Roman"/>
          <w:sz w:val="28"/>
          <w:szCs w:val="28"/>
          <w:lang w:eastAsia="uk-UA"/>
        </w:rPr>
        <w:t>берегоукріплюючих</w:t>
      </w:r>
      <w:proofErr w:type="spellEnd"/>
      <w:r w:rsidRPr="002C35DA">
        <w:rPr>
          <w:rFonts w:ascii="Times New Roman" w:eastAsia="Times New Roman" w:hAnsi="Times New Roman" w:cs="Times New Roman"/>
          <w:sz w:val="28"/>
          <w:szCs w:val="28"/>
          <w:lang w:eastAsia="uk-UA"/>
        </w:rPr>
        <w:t xml:space="preserve"> та </w:t>
      </w:r>
      <w:proofErr w:type="spellStart"/>
      <w:r w:rsidRPr="002C35DA">
        <w:rPr>
          <w:rFonts w:ascii="Times New Roman" w:eastAsia="Times New Roman" w:hAnsi="Times New Roman" w:cs="Times New Roman"/>
          <w:sz w:val="28"/>
          <w:szCs w:val="28"/>
          <w:lang w:eastAsia="uk-UA"/>
        </w:rPr>
        <w:t>руслорегулюючих</w:t>
      </w:r>
      <w:proofErr w:type="spellEnd"/>
      <w:r w:rsidRPr="002C35DA">
        <w:rPr>
          <w:rFonts w:ascii="Times New Roman" w:eastAsia="Times New Roman" w:hAnsi="Times New Roman" w:cs="Times New Roman"/>
          <w:sz w:val="28"/>
          <w:szCs w:val="28"/>
          <w:lang w:eastAsia="uk-UA"/>
        </w:rPr>
        <w:t xml:space="preserve"> робіт для покращення екологічного стану заплави річок. Для відведення стічних вод має бути будівництво системи водовідведення та очисних споруд. Відповідно до ст. 60 Земельного кодексу України,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встановлюються прибережні захисні смуги.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Ґрунти</w:t>
      </w:r>
      <w:r w:rsidRPr="002C35DA">
        <w:rPr>
          <w:rFonts w:ascii="Times New Roman" w:eastAsia="Times New Roman" w:hAnsi="Times New Roman" w:cs="Times New Roman"/>
          <w:sz w:val="28"/>
          <w:szCs w:val="28"/>
          <w:lang w:eastAsia="uk-UA"/>
        </w:rPr>
        <w:t xml:space="preserve">. Основний вплив на ґрунти відбувається при підготовці території для будівництва будівель та полягає у виїмці ґрунту при влаштуванні підземних конструкцій будівель, автошляхових покриттів, прокладання підземних мереж, відведення поверхневих стічних вод, а також родючого ґрунту для озеленення території. Вплив на ґрунти від утворених в процесі планованої діяльності відходів не відбуватиметься, оскільки передбачається удосконалення роботи з поводженням ТПВ.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proofErr w:type="spellStart"/>
      <w:r w:rsidRPr="002C35DA">
        <w:rPr>
          <w:rFonts w:ascii="Times New Roman" w:eastAsia="Times New Roman" w:hAnsi="Times New Roman" w:cs="Times New Roman"/>
          <w:b/>
          <w:bCs/>
          <w:sz w:val="28"/>
          <w:szCs w:val="28"/>
          <w:lang w:eastAsia="uk-UA"/>
        </w:rPr>
        <w:lastRenderedPageBreak/>
        <w:t>Біорізноманіття</w:t>
      </w:r>
      <w:proofErr w:type="spellEnd"/>
      <w:r w:rsidRPr="002C35DA">
        <w:rPr>
          <w:rFonts w:ascii="Times New Roman" w:eastAsia="Times New Roman" w:hAnsi="Times New Roman" w:cs="Times New Roman"/>
          <w:sz w:val="28"/>
          <w:szCs w:val="28"/>
          <w:lang w:eastAsia="uk-UA"/>
        </w:rPr>
        <w:t xml:space="preserve">. Рослинний світ зазнає змін у бік збільшення його різноманітності. Рослини по-різному реагують на забруднення повітря, найуразливіші яблуня, береза, груша, сосна, а більш стійкі – вишня, бузок, дуб тощо. Шкоди зеленим насадженням завдають оксид вуглецю, хлор і хлористоводнева кислота, а також вуглеводні – бензол, антрацен, </w:t>
      </w:r>
      <w:proofErr w:type="spellStart"/>
      <w:r w:rsidRPr="002C35DA">
        <w:rPr>
          <w:rFonts w:ascii="Times New Roman" w:eastAsia="Times New Roman" w:hAnsi="Times New Roman" w:cs="Times New Roman"/>
          <w:sz w:val="28"/>
          <w:szCs w:val="28"/>
          <w:lang w:eastAsia="uk-UA"/>
        </w:rPr>
        <w:t>бенз</w:t>
      </w:r>
      <w:proofErr w:type="spellEnd"/>
      <w:r w:rsidRPr="002C35DA">
        <w:rPr>
          <w:rFonts w:ascii="Times New Roman" w:eastAsia="Times New Roman" w:hAnsi="Times New Roman" w:cs="Times New Roman"/>
          <w:sz w:val="28"/>
          <w:szCs w:val="28"/>
          <w:lang w:eastAsia="uk-UA"/>
        </w:rPr>
        <w:t>(а)</w:t>
      </w:r>
      <w:proofErr w:type="spellStart"/>
      <w:r w:rsidRPr="002C35DA">
        <w:rPr>
          <w:rFonts w:ascii="Times New Roman" w:eastAsia="Times New Roman" w:hAnsi="Times New Roman" w:cs="Times New Roman"/>
          <w:sz w:val="28"/>
          <w:szCs w:val="28"/>
          <w:lang w:eastAsia="uk-UA"/>
        </w:rPr>
        <w:t>пірен</w:t>
      </w:r>
      <w:proofErr w:type="spellEnd"/>
      <w:r w:rsidRPr="002C35DA">
        <w:rPr>
          <w:rFonts w:ascii="Times New Roman" w:eastAsia="Times New Roman" w:hAnsi="Times New Roman" w:cs="Times New Roman"/>
          <w:sz w:val="28"/>
          <w:szCs w:val="28"/>
          <w:lang w:eastAsia="uk-UA"/>
        </w:rPr>
        <w:t xml:space="preserve">.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color w:val="000000"/>
          <w:sz w:val="28"/>
          <w:szCs w:val="28"/>
          <w:lang w:eastAsia="uk-UA"/>
        </w:rPr>
        <w:t>Охорона навколишнього середовища</w:t>
      </w:r>
      <w:r w:rsidRPr="002C35DA">
        <w:rPr>
          <w:rFonts w:ascii="Times New Roman" w:eastAsia="Times New Roman" w:hAnsi="Times New Roman" w:cs="Times New Roman"/>
          <w:color w:val="000000"/>
          <w:sz w:val="28"/>
          <w:szCs w:val="28"/>
          <w:lang w:eastAsia="uk-UA"/>
        </w:rPr>
        <w:t>: о</w:t>
      </w:r>
      <w:r w:rsidRPr="002C35DA">
        <w:rPr>
          <w:rFonts w:ascii="Times New Roman" w:eastAsia="Times New Roman" w:hAnsi="Times New Roman" w:cs="Times New Roman"/>
          <w:sz w:val="28"/>
          <w:szCs w:val="28"/>
          <w:lang w:eastAsia="uk-UA"/>
        </w:rPr>
        <w:t>собливої уваги потребують прибережні захисні смуги та водоохоронні зони річок, також слід приділити увагу захисту ґрунтових та поверхневих вод від забруднення.</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Основні </w:t>
      </w:r>
      <w:proofErr w:type="spellStart"/>
      <w:r w:rsidRPr="002C35DA">
        <w:rPr>
          <w:rFonts w:ascii="Times New Roman" w:eastAsia="Times New Roman" w:hAnsi="Times New Roman" w:cs="Times New Roman"/>
          <w:sz w:val="28"/>
          <w:szCs w:val="28"/>
          <w:lang w:eastAsia="uk-UA"/>
        </w:rPr>
        <w:t>забрудники</w:t>
      </w:r>
      <w:proofErr w:type="spellEnd"/>
      <w:r w:rsidRPr="002C35DA">
        <w:rPr>
          <w:rFonts w:ascii="Times New Roman" w:eastAsia="Times New Roman" w:hAnsi="Times New Roman" w:cs="Times New Roman"/>
          <w:sz w:val="28"/>
          <w:szCs w:val="28"/>
          <w:lang w:eastAsia="uk-UA"/>
        </w:rPr>
        <w:t xml:space="preserve"> атмосферного повітря є автомобільний транспорт</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Основні забруднювачі ґрунту є господарсько-побутові та промислові відходи, викиди автотранспорту, продукти життєдіяльності людей та тваринні захоронення. Значний вплив на земельні ресурси має нецільове використання земельних ділянок.</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b/>
          <w:bCs/>
          <w:sz w:val="28"/>
          <w:szCs w:val="28"/>
          <w:lang w:eastAsia="uk-UA"/>
        </w:rPr>
      </w:pPr>
      <w:r w:rsidRPr="002C35DA">
        <w:rPr>
          <w:rFonts w:ascii="Times New Roman" w:eastAsia="Times New Roman" w:hAnsi="Times New Roman" w:cs="Times New Roman"/>
          <w:b/>
          <w:bCs/>
          <w:sz w:val="28"/>
          <w:szCs w:val="28"/>
          <w:lang w:eastAsia="uk-UA"/>
        </w:rPr>
        <w:t>Лісовий заказник загальнодержавного значення:</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Національний природній парк загальнодержавного значення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xml:space="preserve">». Площа 10866,00, знаходиться в селі Гута та Стара Гута, </w:t>
      </w:r>
      <w:proofErr w:type="spellStart"/>
      <w:r w:rsidRPr="002C35DA">
        <w:rPr>
          <w:rFonts w:ascii="Times New Roman" w:eastAsia="Times New Roman" w:hAnsi="Times New Roman" w:cs="Times New Roman"/>
          <w:sz w:val="28"/>
          <w:szCs w:val="28"/>
          <w:lang w:eastAsia="uk-UA"/>
        </w:rPr>
        <w:t>Гутянське</w:t>
      </w:r>
      <w:proofErr w:type="spellEnd"/>
      <w:r w:rsidRPr="002C35DA">
        <w:rPr>
          <w:rFonts w:ascii="Times New Roman" w:eastAsia="Times New Roman" w:hAnsi="Times New Roman" w:cs="Times New Roman"/>
          <w:sz w:val="28"/>
          <w:szCs w:val="28"/>
          <w:lang w:eastAsia="uk-UA"/>
        </w:rPr>
        <w:t xml:space="preserve"> лісництво.</w:t>
      </w:r>
      <w:r w:rsidRPr="002C35DA">
        <w:rPr>
          <w:rFonts w:ascii="Times New Roman" w:eastAsia="Times New Roman" w:hAnsi="Times New Roman" w:cs="Times New Roman"/>
          <w:sz w:val="24"/>
          <w:szCs w:val="24"/>
          <w:lang w:eastAsia="uk-UA"/>
        </w:rPr>
        <w:t xml:space="preserve"> </w:t>
      </w:r>
      <w:r w:rsidRPr="002C35DA">
        <w:rPr>
          <w:rFonts w:ascii="Times New Roman" w:eastAsia="Times New Roman" w:hAnsi="Times New Roman" w:cs="Times New Roman"/>
          <w:sz w:val="28"/>
          <w:szCs w:val="28"/>
          <w:lang w:eastAsia="uk-UA"/>
        </w:rPr>
        <w:t>Національний природний парк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(далі - Парк) створений відповідно  до Указу Президента України від 21 грудня 2009 року № 1083 «Про створення  національного природного парку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шляхом реорганізації (перетворення) Державної організації «Резиденція «</w:t>
      </w:r>
      <w:proofErr w:type="spellStart"/>
      <w:r w:rsidRPr="002C35DA">
        <w:rPr>
          <w:rFonts w:ascii="Times New Roman" w:eastAsia="Times New Roman" w:hAnsi="Times New Roman" w:cs="Times New Roman"/>
          <w:sz w:val="28"/>
          <w:szCs w:val="28"/>
          <w:lang w:eastAsia="uk-UA"/>
        </w:rPr>
        <w:t>Синьогора</w:t>
      </w:r>
      <w:proofErr w:type="spellEnd"/>
      <w:r w:rsidRPr="002C35DA">
        <w:rPr>
          <w:rFonts w:ascii="Times New Roman" w:eastAsia="Times New Roman" w:hAnsi="Times New Roman" w:cs="Times New Roman"/>
          <w:sz w:val="28"/>
          <w:szCs w:val="28"/>
          <w:lang w:eastAsia="uk-UA"/>
        </w:rPr>
        <w:t xml:space="preserve">» та є її правонаступником. Територією паркою пролягає частина – </w:t>
      </w:r>
      <w:proofErr w:type="spellStart"/>
      <w:r w:rsidRPr="002C35DA">
        <w:rPr>
          <w:rFonts w:ascii="Times New Roman" w:eastAsia="Times New Roman" w:hAnsi="Times New Roman" w:cs="Times New Roman"/>
          <w:sz w:val="28"/>
          <w:szCs w:val="28"/>
          <w:lang w:eastAsia="uk-UA"/>
        </w:rPr>
        <w:t>Східно-Карпатьського</w:t>
      </w:r>
      <w:proofErr w:type="spellEnd"/>
      <w:r w:rsidRPr="002C35DA">
        <w:rPr>
          <w:rFonts w:ascii="Times New Roman" w:eastAsia="Times New Roman" w:hAnsi="Times New Roman" w:cs="Times New Roman"/>
          <w:sz w:val="28"/>
          <w:szCs w:val="28"/>
          <w:lang w:eastAsia="uk-UA"/>
        </w:rPr>
        <w:t xml:space="preserve"> Туристичного Шляху.</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Урочище «Скит </w:t>
      </w:r>
      <w:proofErr w:type="spellStart"/>
      <w:r w:rsidRPr="002C35DA">
        <w:rPr>
          <w:rFonts w:ascii="Times New Roman" w:eastAsia="Times New Roman" w:hAnsi="Times New Roman" w:cs="Times New Roman"/>
          <w:sz w:val="28"/>
          <w:szCs w:val="28"/>
          <w:lang w:eastAsia="uk-UA"/>
        </w:rPr>
        <w:t>Манявський</w:t>
      </w:r>
      <w:proofErr w:type="spellEnd"/>
      <w:r w:rsidRPr="002C35DA">
        <w:rPr>
          <w:rFonts w:ascii="Times New Roman" w:eastAsia="Times New Roman" w:hAnsi="Times New Roman" w:cs="Times New Roman"/>
          <w:sz w:val="28"/>
          <w:szCs w:val="28"/>
          <w:lang w:eastAsia="uk-UA"/>
        </w:rPr>
        <w:t xml:space="preserve">». Площа – 362,0 га. Знаходиться в с. </w:t>
      </w:r>
      <w:proofErr w:type="spellStart"/>
      <w:r w:rsidRPr="002C35DA">
        <w:rPr>
          <w:rFonts w:ascii="Times New Roman" w:eastAsia="Times New Roman" w:hAnsi="Times New Roman" w:cs="Times New Roman"/>
          <w:sz w:val="28"/>
          <w:szCs w:val="28"/>
          <w:lang w:eastAsia="uk-UA"/>
        </w:rPr>
        <w:t>Манява</w:t>
      </w:r>
      <w:proofErr w:type="spellEnd"/>
      <w:r w:rsidRPr="002C35DA">
        <w:rPr>
          <w:rFonts w:ascii="Times New Roman" w:eastAsia="Times New Roman" w:hAnsi="Times New Roman" w:cs="Times New Roman"/>
          <w:sz w:val="28"/>
          <w:szCs w:val="28"/>
          <w:lang w:eastAsia="uk-UA"/>
        </w:rPr>
        <w:t xml:space="preserve"> Івано-Франківського району на території </w:t>
      </w:r>
      <w:proofErr w:type="spellStart"/>
      <w:r w:rsidRPr="002C35DA">
        <w:rPr>
          <w:rFonts w:ascii="Times New Roman" w:eastAsia="Times New Roman" w:hAnsi="Times New Roman" w:cs="Times New Roman"/>
          <w:sz w:val="28"/>
          <w:szCs w:val="28"/>
          <w:lang w:eastAsia="uk-UA"/>
        </w:rPr>
        <w:t>Манявського</w:t>
      </w:r>
      <w:proofErr w:type="spellEnd"/>
      <w:r w:rsidRPr="002C35DA">
        <w:rPr>
          <w:rFonts w:ascii="Times New Roman" w:eastAsia="Times New Roman" w:hAnsi="Times New Roman" w:cs="Times New Roman"/>
          <w:sz w:val="28"/>
          <w:szCs w:val="28"/>
          <w:lang w:eastAsia="uk-UA"/>
        </w:rPr>
        <w:t xml:space="preserve"> лісництва, кв. 32 – 37 Філії </w:t>
      </w:r>
      <w:proofErr w:type="spellStart"/>
      <w:r w:rsidRPr="002C35DA">
        <w:rPr>
          <w:rFonts w:ascii="Times New Roman" w:eastAsia="Times New Roman" w:hAnsi="Times New Roman" w:cs="Times New Roman"/>
          <w:sz w:val="28"/>
          <w:szCs w:val="28"/>
          <w:lang w:eastAsia="uk-UA"/>
        </w:rPr>
        <w:t>Осмолодського</w:t>
      </w:r>
      <w:proofErr w:type="spellEnd"/>
      <w:r w:rsidRPr="002C35DA">
        <w:rPr>
          <w:rFonts w:ascii="Times New Roman" w:eastAsia="Times New Roman" w:hAnsi="Times New Roman" w:cs="Times New Roman"/>
          <w:sz w:val="28"/>
          <w:szCs w:val="28"/>
          <w:lang w:eastAsia="uk-UA"/>
        </w:rPr>
        <w:t xml:space="preserve"> лісового господарства. Один з наймальовничіших ландшафтів Прикарпаття з ялицевими, смереково-буково-ялицевими лісами, гарним озером і унікальними скельними утвореннями. Місце зростання модрини польської – виду, занесеного до Червоної книги України.</w:t>
      </w:r>
    </w:p>
    <w:p w:rsidR="009104C5" w:rsidRPr="002C35DA" w:rsidRDefault="009104C5" w:rsidP="009104C5">
      <w:pPr>
        <w:spacing w:after="100" w:afterAutospacing="1" w:line="240" w:lineRule="auto"/>
        <w:ind w:left="567" w:right="-457"/>
        <w:jc w:val="both"/>
        <w:rPr>
          <w:rFonts w:ascii="Times New Roman" w:eastAsia="Calibri" w:hAnsi="Times New Roman" w:cs="Times New Roman"/>
          <w:b/>
          <w:sz w:val="28"/>
          <w:szCs w:val="28"/>
        </w:rPr>
      </w:pPr>
      <w:r w:rsidRPr="002C35DA">
        <w:rPr>
          <w:rFonts w:ascii="Times New Roman" w:eastAsia="Calibri" w:hAnsi="Times New Roman" w:cs="Times New Roman"/>
          <w:b/>
          <w:sz w:val="28"/>
          <w:szCs w:val="28"/>
        </w:rPr>
        <w:t>Ботанічні пам’ятки природи місцевого значення:</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«Тис ягідний» площа – </w:t>
      </w:r>
      <w:smartTag w:uri="urn:schemas-microsoft-com:office:smarttags" w:element="metricconverter">
        <w:smartTagPr>
          <w:attr w:name="ProductID" w:val="0,01 га"/>
        </w:smartTagPr>
        <w:r w:rsidRPr="002C35DA">
          <w:rPr>
            <w:rFonts w:ascii="Times New Roman" w:eastAsia="Calibri" w:hAnsi="Times New Roman" w:cs="Times New Roman"/>
            <w:sz w:val="28"/>
            <w:szCs w:val="28"/>
          </w:rPr>
          <w:t>0,01 га</w:t>
        </w:r>
      </w:smartTag>
      <w:r w:rsidRPr="002C35DA">
        <w:rPr>
          <w:rFonts w:ascii="Times New Roman" w:eastAsia="Calibri" w:hAnsi="Times New Roman" w:cs="Times New Roman"/>
          <w:sz w:val="28"/>
          <w:szCs w:val="28"/>
        </w:rPr>
        <w:t xml:space="preserve"> (1 дерево). </w:t>
      </w:r>
      <w:proofErr w:type="spellStart"/>
      <w:r w:rsidRPr="002C35DA">
        <w:rPr>
          <w:rFonts w:ascii="Times New Roman" w:eastAsia="Calibri" w:hAnsi="Times New Roman" w:cs="Times New Roman"/>
          <w:sz w:val="28"/>
          <w:szCs w:val="28"/>
        </w:rPr>
        <w:t>Манявське</w:t>
      </w:r>
      <w:proofErr w:type="spellEnd"/>
      <w:r w:rsidRPr="002C35DA">
        <w:rPr>
          <w:rFonts w:ascii="Times New Roman" w:eastAsia="Calibri" w:hAnsi="Times New Roman" w:cs="Times New Roman"/>
          <w:sz w:val="28"/>
          <w:szCs w:val="28"/>
        </w:rPr>
        <w:t xml:space="preserve"> лісництво,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24, вид.7 </w:t>
      </w:r>
      <w:proofErr w:type="spellStart"/>
      <w:r w:rsidRPr="002C35DA">
        <w:rPr>
          <w:rFonts w:ascii="Times New Roman" w:eastAsia="Calibri" w:hAnsi="Times New Roman" w:cs="Times New Roman"/>
          <w:sz w:val="28"/>
          <w:szCs w:val="28"/>
        </w:rPr>
        <w:t>Осмолодського</w:t>
      </w:r>
      <w:proofErr w:type="spellEnd"/>
      <w:r w:rsidRPr="002C35DA">
        <w:rPr>
          <w:rFonts w:ascii="Times New Roman" w:eastAsia="Calibri" w:hAnsi="Times New Roman" w:cs="Times New Roman"/>
          <w:sz w:val="28"/>
          <w:szCs w:val="28"/>
        </w:rPr>
        <w:t xml:space="preserve"> лісового господарства. Реліктове дерево тису ягідного віком 80 років. Вид, занесений до Червоної книги України. </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Бір «Величків» площа – 2,1 га. Івано-Франківський район, </w:t>
      </w:r>
      <w:proofErr w:type="spellStart"/>
      <w:r w:rsidRPr="002C35DA">
        <w:rPr>
          <w:rFonts w:ascii="Times New Roman" w:eastAsia="Calibri" w:hAnsi="Times New Roman" w:cs="Times New Roman"/>
          <w:sz w:val="28"/>
          <w:szCs w:val="28"/>
        </w:rPr>
        <w:t>Яблунівське</w:t>
      </w:r>
      <w:proofErr w:type="spellEnd"/>
      <w:r w:rsidRPr="002C35DA">
        <w:rPr>
          <w:rFonts w:ascii="Times New Roman" w:eastAsia="Calibri" w:hAnsi="Times New Roman" w:cs="Times New Roman"/>
          <w:sz w:val="28"/>
          <w:szCs w:val="28"/>
        </w:rPr>
        <w:t xml:space="preserve"> лісництво,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7, вид.15, </w:t>
      </w:r>
      <w:proofErr w:type="spellStart"/>
      <w:r w:rsidRPr="002C35DA">
        <w:rPr>
          <w:rFonts w:ascii="Times New Roman" w:eastAsia="Calibri" w:hAnsi="Times New Roman" w:cs="Times New Roman"/>
          <w:sz w:val="28"/>
          <w:szCs w:val="28"/>
        </w:rPr>
        <w:t>Осмолодського</w:t>
      </w:r>
      <w:proofErr w:type="spellEnd"/>
      <w:r w:rsidRPr="002C35DA">
        <w:rPr>
          <w:rFonts w:ascii="Times New Roman" w:eastAsia="Calibri" w:hAnsi="Times New Roman" w:cs="Times New Roman"/>
          <w:sz w:val="28"/>
          <w:szCs w:val="28"/>
        </w:rPr>
        <w:t xml:space="preserve"> лісового господарства. Верхове болото (торфовище) з реліктовою рослинністю. Серед них – багно болотяне, журавлина дрібноплідна, плавун </w:t>
      </w:r>
      <w:proofErr w:type="spellStart"/>
      <w:r w:rsidRPr="002C35DA">
        <w:rPr>
          <w:rFonts w:ascii="Times New Roman" w:eastAsia="Calibri" w:hAnsi="Times New Roman" w:cs="Times New Roman"/>
          <w:sz w:val="28"/>
          <w:szCs w:val="28"/>
        </w:rPr>
        <w:t>булавовидний</w:t>
      </w:r>
      <w:proofErr w:type="spellEnd"/>
      <w:r w:rsidRPr="002C35DA">
        <w:rPr>
          <w:rFonts w:ascii="Times New Roman" w:eastAsia="Calibri" w:hAnsi="Times New Roman" w:cs="Times New Roman"/>
          <w:sz w:val="28"/>
          <w:szCs w:val="28"/>
        </w:rPr>
        <w:t xml:space="preserve">, а також багато видів осоки та мохів болотних. </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lastRenderedPageBreak/>
        <w:t>«</w:t>
      </w:r>
      <w:proofErr w:type="spellStart"/>
      <w:r w:rsidRPr="002C35DA">
        <w:rPr>
          <w:rFonts w:ascii="Times New Roman" w:eastAsia="Calibri" w:hAnsi="Times New Roman" w:cs="Times New Roman"/>
          <w:sz w:val="28"/>
          <w:szCs w:val="28"/>
        </w:rPr>
        <w:t>Солотвинські</w:t>
      </w:r>
      <w:proofErr w:type="spellEnd"/>
      <w:r w:rsidRPr="002C35DA">
        <w:rPr>
          <w:rFonts w:ascii="Times New Roman" w:eastAsia="Calibri" w:hAnsi="Times New Roman" w:cs="Times New Roman"/>
          <w:sz w:val="28"/>
          <w:szCs w:val="28"/>
        </w:rPr>
        <w:t xml:space="preserve"> дуби» площа – </w:t>
      </w:r>
      <w:smartTag w:uri="urn:schemas-microsoft-com:office:smarttags" w:element="metricconverter">
        <w:smartTagPr>
          <w:attr w:name="ProductID" w:val="0,29 га"/>
        </w:smartTagPr>
        <w:r w:rsidRPr="002C35DA">
          <w:rPr>
            <w:rFonts w:ascii="Times New Roman" w:eastAsia="Calibri" w:hAnsi="Times New Roman" w:cs="Times New Roman"/>
            <w:sz w:val="28"/>
            <w:szCs w:val="28"/>
          </w:rPr>
          <w:t>0,29 га</w:t>
        </w:r>
      </w:smartTag>
      <w:r w:rsidRPr="002C35DA">
        <w:rPr>
          <w:rFonts w:ascii="Times New Roman" w:eastAsia="Calibri" w:hAnsi="Times New Roman" w:cs="Times New Roman"/>
          <w:sz w:val="28"/>
          <w:szCs w:val="28"/>
        </w:rPr>
        <w:t xml:space="preserve">. Івано-Франківський район, </w:t>
      </w:r>
      <w:r w:rsidRPr="002C35DA">
        <w:rPr>
          <w:rFonts w:ascii="Times New Roman" w:eastAsia="Calibri" w:hAnsi="Times New Roman" w:cs="Times New Roman"/>
          <w:sz w:val="28"/>
          <w:szCs w:val="28"/>
        </w:rPr>
        <w:br/>
        <w:t xml:space="preserve">смт. Солотвин. Тринадцять дерев дуба звичайного, вік понад 350 років. </w:t>
      </w:r>
    </w:p>
    <w:p w:rsidR="009104C5" w:rsidRPr="002C35DA" w:rsidRDefault="009104C5" w:rsidP="009104C5">
      <w:pPr>
        <w:spacing w:after="100" w:afterAutospacing="1" w:line="240" w:lineRule="auto"/>
        <w:ind w:left="567" w:right="-457"/>
        <w:jc w:val="both"/>
        <w:rPr>
          <w:rFonts w:ascii="Times New Roman" w:eastAsia="Calibri" w:hAnsi="Times New Roman" w:cs="Times New Roman"/>
          <w:b/>
          <w:sz w:val="28"/>
          <w:szCs w:val="28"/>
        </w:rPr>
      </w:pPr>
      <w:r w:rsidRPr="002C35DA">
        <w:rPr>
          <w:rFonts w:ascii="Times New Roman" w:eastAsia="Calibri" w:hAnsi="Times New Roman" w:cs="Times New Roman"/>
          <w:b/>
          <w:sz w:val="28"/>
          <w:szCs w:val="28"/>
        </w:rPr>
        <w:t>Гідрологічна пам’ятка природи місцевого значення:</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w:t>
      </w:r>
      <w:proofErr w:type="spellStart"/>
      <w:r w:rsidRPr="002C35DA">
        <w:rPr>
          <w:rFonts w:ascii="Times New Roman" w:eastAsia="Calibri" w:hAnsi="Times New Roman" w:cs="Times New Roman"/>
          <w:sz w:val="28"/>
          <w:szCs w:val="28"/>
        </w:rPr>
        <w:t>Манявський</w:t>
      </w:r>
      <w:proofErr w:type="spellEnd"/>
      <w:r w:rsidRPr="002C35DA">
        <w:rPr>
          <w:rFonts w:ascii="Times New Roman" w:eastAsia="Calibri" w:hAnsi="Times New Roman" w:cs="Times New Roman"/>
          <w:sz w:val="28"/>
          <w:szCs w:val="28"/>
        </w:rPr>
        <w:t xml:space="preserve"> водоспад» площа – </w:t>
      </w:r>
      <w:smartTag w:uri="urn:schemas-microsoft-com:office:smarttags" w:element="metricconverter">
        <w:smartTagPr>
          <w:attr w:name="ProductID" w:val="1,0 га"/>
        </w:smartTagPr>
        <w:r w:rsidRPr="002C35DA">
          <w:rPr>
            <w:rFonts w:ascii="Times New Roman" w:eastAsia="Calibri" w:hAnsi="Times New Roman" w:cs="Times New Roman"/>
            <w:sz w:val="28"/>
            <w:szCs w:val="28"/>
          </w:rPr>
          <w:t>1,0 га</w:t>
        </w:r>
      </w:smartTag>
      <w:r w:rsidRPr="002C35DA">
        <w:rPr>
          <w:rFonts w:ascii="Times New Roman" w:eastAsia="Calibri" w:hAnsi="Times New Roman" w:cs="Times New Roman"/>
          <w:sz w:val="28"/>
          <w:szCs w:val="28"/>
        </w:rPr>
        <w:t xml:space="preserve">. Івано-Франківський район, </w:t>
      </w:r>
      <w:proofErr w:type="spellStart"/>
      <w:r w:rsidRPr="002C35DA">
        <w:rPr>
          <w:rFonts w:ascii="Times New Roman" w:eastAsia="Calibri" w:hAnsi="Times New Roman" w:cs="Times New Roman"/>
          <w:sz w:val="28"/>
          <w:szCs w:val="28"/>
        </w:rPr>
        <w:t>Манявське</w:t>
      </w:r>
      <w:proofErr w:type="spellEnd"/>
      <w:r w:rsidRPr="002C35DA">
        <w:rPr>
          <w:rFonts w:ascii="Times New Roman" w:eastAsia="Calibri" w:hAnsi="Times New Roman" w:cs="Times New Roman"/>
          <w:sz w:val="28"/>
          <w:szCs w:val="28"/>
        </w:rPr>
        <w:t xml:space="preserve"> лісництво,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9, вид.12 </w:t>
      </w:r>
      <w:proofErr w:type="spellStart"/>
      <w:r w:rsidRPr="002C35DA">
        <w:rPr>
          <w:rFonts w:ascii="Times New Roman" w:eastAsia="Calibri" w:hAnsi="Times New Roman" w:cs="Times New Roman"/>
          <w:sz w:val="28"/>
          <w:szCs w:val="28"/>
        </w:rPr>
        <w:t>Осмолодського</w:t>
      </w:r>
      <w:proofErr w:type="spellEnd"/>
      <w:r w:rsidRPr="002C35DA">
        <w:rPr>
          <w:rFonts w:ascii="Times New Roman" w:eastAsia="Calibri" w:hAnsi="Times New Roman" w:cs="Times New Roman"/>
          <w:sz w:val="28"/>
          <w:szCs w:val="28"/>
        </w:rPr>
        <w:t xml:space="preserve"> лісового господарства. Скеля-скид карпатського флішу. Висота падіння води – </w:t>
      </w:r>
      <w:smartTag w:uri="urn:schemas-microsoft-com:office:smarttags" w:element="metricconverter">
        <w:smartTagPr>
          <w:attr w:name="ProductID" w:val="20 м"/>
        </w:smartTagPr>
        <w:r w:rsidRPr="002C35DA">
          <w:rPr>
            <w:rFonts w:ascii="Times New Roman" w:eastAsia="Calibri" w:hAnsi="Times New Roman" w:cs="Times New Roman"/>
            <w:sz w:val="28"/>
            <w:szCs w:val="28"/>
          </w:rPr>
          <w:t>20 м</w:t>
        </w:r>
      </w:smartTag>
      <w:r w:rsidRPr="002C35DA">
        <w:rPr>
          <w:rFonts w:ascii="Times New Roman" w:eastAsia="Calibri" w:hAnsi="Times New Roman" w:cs="Times New Roman"/>
          <w:sz w:val="28"/>
          <w:szCs w:val="28"/>
        </w:rPr>
        <w:t>.</w:t>
      </w:r>
    </w:p>
    <w:p w:rsidR="009104C5" w:rsidRPr="002C35DA" w:rsidRDefault="009104C5" w:rsidP="009104C5">
      <w:pPr>
        <w:spacing w:after="100" w:afterAutospacing="1" w:line="240" w:lineRule="auto"/>
        <w:ind w:left="567" w:right="-457"/>
        <w:jc w:val="both"/>
        <w:rPr>
          <w:rFonts w:ascii="Times New Roman" w:eastAsia="Calibri" w:hAnsi="Times New Roman" w:cs="Times New Roman"/>
          <w:b/>
          <w:sz w:val="28"/>
          <w:szCs w:val="28"/>
        </w:rPr>
      </w:pPr>
      <w:r w:rsidRPr="002C35DA">
        <w:rPr>
          <w:rFonts w:ascii="Times New Roman" w:eastAsia="Calibri" w:hAnsi="Times New Roman" w:cs="Times New Roman"/>
          <w:b/>
          <w:sz w:val="28"/>
          <w:szCs w:val="28"/>
        </w:rPr>
        <w:t>Заповідні урочища:</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 xml:space="preserve">«Бистрий» площа – </w:t>
      </w:r>
      <w:smartTag w:uri="urn:schemas-microsoft-com:office:smarttags" w:element="metricconverter">
        <w:smartTagPr>
          <w:attr w:name="ProductID" w:val="187,0 га"/>
        </w:smartTagPr>
        <w:r w:rsidRPr="002C35DA">
          <w:rPr>
            <w:rFonts w:ascii="Times New Roman" w:eastAsia="Calibri" w:hAnsi="Times New Roman" w:cs="Times New Roman"/>
            <w:sz w:val="28"/>
            <w:szCs w:val="28"/>
          </w:rPr>
          <w:t>187,0 га</w:t>
        </w:r>
      </w:smartTag>
      <w:r w:rsidRPr="002C35DA">
        <w:rPr>
          <w:rFonts w:ascii="Times New Roman" w:eastAsia="Calibri" w:hAnsi="Times New Roman" w:cs="Times New Roman"/>
          <w:sz w:val="28"/>
          <w:szCs w:val="28"/>
        </w:rPr>
        <w:t xml:space="preserve">. Івано-Франківський район, </w:t>
      </w:r>
      <w:proofErr w:type="spellStart"/>
      <w:r w:rsidRPr="002C35DA">
        <w:rPr>
          <w:rFonts w:ascii="Times New Roman" w:eastAsia="Calibri" w:hAnsi="Times New Roman" w:cs="Times New Roman"/>
          <w:sz w:val="28"/>
          <w:szCs w:val="28"/>
        </w:rPr>
        <w:t>Гутянське</w:t>
      </w:r>
      <w:proofErr w:type="spellEnd"/>
      <w:r w:rsidRPr="002C35DA">
        <w:rPr>
          <w:rFonts w:ascii="Times New Roman" w:eastAsia="Calibri" w:hAnsi="Times New Roman" w:cs="Times New Roman"/>
          <w:sz w:val="28"/>
          <w:szCs w:val="28"/>
        </w:rPr>
        <w:t xml:space="preserve"> лісництво,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43,44 </w:t>
      </w:r>
      <w:proofErr w:type="spellStart"/>
      <w:r w:rsidRPr="002C35DA">
        <w:rPr>
          <w:rFonts w:ascii="Times New Roman" w:eastAsia="Calibri" w:hAnsi="Times New Roman" w:cs="Times New Roman"/>
          <w:sz w:val="28"/>
          <w:szCs w:val="28"/>
        </w:rPr>
        <w:t>Осмолодського</w:t>
      </w:r>
      <w:proofErr w:type="spellEnd"/>
      <w:r w:rsidRPr="002C35DA">
        <w:rPr>
          <w:rFonts w:ascii="Times New Roman" w:eastAsia="Calibri" w:hAnsi="Times New Roman" w:cs="Times New Roman"/>
          <w:sz w:val="28"/>
          <w:szCs w:val="28"/>
        </w:rPr>
        <w:t xml:space="preserve"> лісового господарства. Насадження реліктової сосни кедрової європейської, занесеної до Червоної книги України.</w:t>
      </w:r>
    </w:p>
    <w:p w:rsidR="009104C5" w:rsidRPr="002C35DA" w:rsidRDefault="009104C5" w:rsidP="009104C5">
      <w:pPr>
        <w:spacing w:after="100" w:afterAutospacing="1" w:line="240" w:lineRule="auto"/>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w:t>
      </w:r>
      <w:proofErr w:type="spellStart"/>
      <w:r w:rsidRPr="002C35DA">
        <w:rPr>
          <w:rFonts w:ascii="Times New Roman" w:eastAsia="Calibri" w:hAnsi="Times New Roman" w:cs="Times New Roman"/>
          <w:sz w:val="28"/>
          <w:szCs w:val="28"/>
        </w:rPr>
        <w:t>Люблінець</w:t>
      </w:r>
      <w:proofErr w:type="spellEnd"/>
      <w:r w:rsidRPr="002C35DA">
        <w:rPr>
          <w:rFonts w:ascii="Times New Roman" w:eastAsia="Calibri" w:hAnsi="Times New Roman" w:cs="Times New Roman"/>
          <w:sz w:val="28"/>
          <w:szCs w:val="28"/>
        </w:rPr>
        <w:t xml:space="preserve">» площа – 113,0 га. Івано-Франківський район, </w:t>
      </w:r>
      <w:proofErr w:type="spellStart"/>
      <w:r w:rsidRPr="002C35DA">
        <w:rPr>
          <w:rFonts w:ascii="Times New Roman" w:eastAsia="Calibri" w:hAnsi="Times New Roman" w:cs="Times New Roman"/>
          <w:sz w:val="28"/>
          <w:szCs w:val="28"/>
        </w:rPr>
        <w:t>Солотвинське</w:t>
      </w:r>
      <w:proofErr w:type="spellEnd"/>
      <w:r w:rsidRPr="002C35DA">
        <w:rPr>
          <w:rFonts w:ascii="Times New Roman" w:eastAsia="Calibri" w:hAnsi="Times New Roman" w:cs="Times New Roman"/>
          <w:sz w:val="28"/>
          <w:szCs w:val="28"/>
        </w:rPr>
        <w:t xml:space="preserve"> лісництво,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5 </w:t>
      </w:r>
      <w:proofErr w:type="spellStart"/>
      <w:r w:rsidRPr="002C35DA">
        <w:rPr>
          <w:rFonts w:ascii="Times New Roman" w:eastAsia="Calibri" w:hAnsi="Times New Roman" w:cs="Times New Roman"/>
          <w:sz w:val="28"/>
          <w:szCs w:val="28"/>
        </w:rPr>
        <w:t>Осмолодського</w:t>
      </w:r>
      <w:proofErr w:type="spellEnd"/>
      <w:r w:rsidRPr="002C35DA">
        <w:rPr>
          <w:rFonts w:ascii="Times New Roman" w:eastAsia="Calibri" w:hAnsi="Times New Roman" w:cs="Times New Roman"/>
          <w:sz w:val="28"/>
          <w:szCs w:val="28"/>
        </w:rPr>
        <w:t xml:space="preserve"> лісового господарства. Цінні насадження бука, модрини європейської. Під пологом цих насаджень знаходиться підріст бука, ялиці від 15 до 20 тис. штук, які знаходяться в задовільному стані (</w:t>
      </w:r>
      <w:proofErr w:type="spellStart"/>
      <w:r w:rsidRPr="002C35DA">
        <w:rPr>
          <w:rFonts w:ascii="Times New Roman" w:eastAsia="Calibri" w:hAnsi="Times New Roman" w:cs="Times New Roman"/>
          <w:sz w:val="28"/>
          <w:szCs w:val="28"/>
        </w:rPr>
        <w:t>кв</w:t>
      </w:r>
      <w:proofErr w:type="spellEnd"/>
      <w:r w:rsidRPr="002C35DA">
        <w:rPr>
          <w:rFonts w:ascii="Times New Roman" w:eastAsia="Calibri" w:hAnsi="Times New Roman" w:cs="Times New Roman"/>
          <w:sz w:val="28"/>
          <w:szCs w:val="28"/>
        </w:rPr>
        <w:t xml:space="preserve"> 5 пл. </w:t>
      </w:r>
      <w:smartTag w:uri="urn:schemas-microsoft-com:office:smarttags" w:element="metricconverter">
        <w:smartTagPr>
          <w:attr w:name="ProductID" w:val="113 га"/>
        </w:smartTagPr>
        <w:r w:rsidRPr="002C35DA">
          <w:rPr>
            <w:rFonts w:ascii="Times New Roman" w:eastAsia="Calibri" w:hAnsi="Times New Roman" w:cs="Times New Roman"/>
            <w:sz w:val="28"/>
            <w:szCs w:val="28"/>
          </w:rPr>
          <w:t>113 га</w:t>
        </w:r>
      </w:smartTag>
      <w:r w:rsidRPr="002C35DA">
        <w:rPr>
          <w:rFonts w:ascii="Times New Roman" w:eastAsia="Calibri" w:hAnsi="Times New Roman" w:cs="Times New Roman"/>
          <w:sz w:val="28"/>
          <w:szCs w:val="28"/>
        </w:rPr>
        <w:t>).</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sz w:val="28"/>
          <w:szCs w:val="28"/>
          <w:lang w:eastAsia="uk-UA"/>
        </w:rPr>
      </w:pPr>
      <w:r w:rsidRPr="002C35DA">
        <w:rPr>
          <w:rFonts w:ascii="Times New Roman" w:eastAsia="Times New Roman" w:hAnsi="Times New Roman" w:cs="Times New Roman"/>
          <w:b/>
          <w:bCs/>
          <w:sz w:val="28"/>
          <w:szCs w:val="28"/>
          <w:lang w:eastAsia="uk-UA"/>
        </w:rPr>
        <w:t>7. ПОВОДЖЕННЯ З ТВЕРДИМИ ПОБУТОВИМИ ВІДХОДАМИ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На території громади не налагоджена система сортуванням  та переробки твердих побутових відходів, відповідно всі тверді побутові відходи вивозяться і потрапляють на полігони. Так, за 2022-2023 роки та перший квартал 2024 року 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житлово-комунальне господарство» вивезено на полігон побутових відходів 17 083 м3 відходів, що підлягають захороненню.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Як зазначається в Програмі управління відходами на території Солотвинської селищної ради на 2024-2030 роки, в громаді є наступні проблеми, які стосуються управління відходів:</w:t>
      </w:r>
    </w:p>
    <w:p w:rsidR="009104C5" w:rsidRPr="002C35DA" w:rsidRDefault="009104C5" w:rsidP="009104C5">
      <w:pPr>
        <w:numPr>
          <w:ilvl w:val="0"/>
          <w:numId w:val="1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зміна морфології побутових відходів зі збільшенням частки компонентів, які не піддаються процесам біологічного розкладання;</w:t>
      </w:r>
    </w:p>
    <w:p w:rsidR="009104C5" w:rsidRPr="002C35DA" w:rsidRDefault="009104C5" w:rsidP="009104C5">
      <w:pPr>
        <w:numPr>
          <w:ilvl w:val="0"/>
          <w:numId w:val="1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низька інноваційно-інвестиційна активність суб’єктів господарської діяльності у сфері управління відходами;</w:t>
      </w:r>
    </w:p>
    <w:p w:rsidR="009104C5" w:rsidRPr="002C35DA" w:rsidRDefault="009104C5" w:rsidP="009104C5">
      <w:pPr>
        <w:numPr>
          <w:ilvl w:val="0"/>
          <w:numId w:val="15"/>
        </w:numPr>
        <w:spacing w:before="100" w:beforeAutospacing="1"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низький рівень участі мешканців у сфері управління відходами, що знижує рівень роздільного збору відходів;</w:t>
      </w:r>
    </w:p>
    <w:p w:rsidR="009104C5" w:rsidRPr="002C35DA" w:rsidRDefault="009104C5" w:rsidP="009104C5">
      <w:pPr>
        <w:numPr>
          <w:ilvl w:val="0"/>
          <w:numId w:val="15"/>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недостатнє охоплення власників житлових будинків приватної забудови послугою на управління відходами.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Залишається проблемою несанкціоноване розміщення твердих побутових відходів населення поблизу річок. Необхідно проводити інформаційні заходи, документувати правопорушення у сфері благоустрою та поводження з твердими побутовими відходами за допомогою </w:t>
      </w:r>
      <w:proofErr w:type="spellStart"/>
      <w:r w:rsidRPr="002C35DA">
        <w:rPr>
          <w:rFonts w:ascii="Times New Roman" w:eastAsia="Times New Roman" w:hAnsi="Times New Roman" w:cs="Times New Roman"/>
          <w:color w:val="000000"/>
          <w:sz w:val="28"/>
          <w:szCs w:val="28"/>
          <w:lang w:eastAsia="uk-UA"/>
        </w:rPr>
        <w:t>відео-</w:t>
      </w:r>
      <w:proofErr w:type="spellEnd"/>
      <w:r w:rsidRPr="002C35DA">
        <w:rPr>
          <w:rFonts w:ascii="Times New Roman" w:eastAsia="Times New Roman" w:hAnsi="Times New Roman" w:cs="Times New Roman"/>
          <w:color w:val="000000"/>
          <w:sz w:val="28"/>
          <w:szCs w:val="28"/>
          <w:lang w:eastAsia="uk-UA"/>
        </w:rPr>
        <w:t xml:space="preserve"> та </w:t>
      </w:r>
      <w:proofErr w:type="spellStart"/>
      <w:r w:rsidRPr="002C35DA">
        <w:rPr>
          <w:rFonts w:ascii="Times New Roman" w:eastAsia="Times New Roman" w:hAnsi="Times New Roman" w:cs="Times New Roman"/>
          <w:color w:val="000000"/>
          <w:sz w:val="28"/>
          <w:szCs w:val="28"/>
          <w:lang w:eastAsia="uk-UA"/>
        </w:rPr>
        <w:t>фотофіксації</w:t>
      </w:r>
      <w:proofErr w:type="spellEnd"/>
      <w:r w:rsidRPr="002C35DA">
        <w:rPr>
          <w:rFonts w:ascii="Times New Roman" w:eastAsia="Times New Roman" w:hAnsi="Times New Roman" w:cs="Times New Roman"/>
          <w:color w:val="000000"/>
          <w:sz w:val="28"/>
          <w:szCs w:val="28"/>
          <w:lang w:eastAsia="uk-UA"/>
        </w:rPr>
        <w:t xml:space="preserve">, запроваджувати штрафи за засмічення благоустроєних територій, удосконалювати питання роздільного збору твердих побутових відходів, </w:t>
      </w:r>
      <w:r w:rsidRPr="002C35DA">
        <w:rPr>
          <w:rFonts w:ascii="Times New Roman" w:eastAsia="Times New Roman" w:hAnsi="Times New Roman" w:cs="Times New Roman"/>
          <w:color w:val="000000"/>
          <w:sz w:val="28"/>
          <w:szCs w:val="28"/>
          <w:lang w:eastAsia="uk-UA"/>
        </w:rPr>
        <w:lastRenderedPageBreak/>
        <w:t>розв’язувати питання сортування та забезпечувати комплексну переробку твердих побутових відходів.</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p>
    <w:p w:rsidR="009104C5" w:rsidRPr="002C35DA" w:rsidRDefault="009104C5" w:rsidP="009104C5">
      <w:pPr>
        <w:autoSpaceDE w:val="0"/>
        <w:autoSpaceDN w:val="0"/>
        <w:adjustRightInd w:val="0"/>
        <w:spacing w:after="100" w:afterAutospacing="1" w:line="240" w:lineRule="auto"/>
        <w:ind w:left="567" w:right="-457"/>
        <w:jc w:val="center"/>
        <w:rPr>
          <w:rFonts w:ascii="Times New Roman" w:eastAsia="Times New Roman" w:hAnsi="Times New Roman" w:cs="Times New Roman"/>
          <w:b/>
          <w:sz w:val="28"/>
          <w:szCs w:val="28"/>
        </w:rPr>
      </w:pPr>
      <w:r w:rsidRPr="002C35DA">
        <w:rPr>
          <w:rFonts w:ascii="Times New Roman" w:eastAsia="Times New Roman" w:hAnsi="Times New Roman" w:cs="Times New Roman"/>
          <w:b/>
          <w:sz w:val="28"/>
          <w:szCs w:val="28"/>
        </w:rPr>
        <w:t>8. ІНФОРМУВАННЯ НАСЕЛЕННЯ ПРО СТАН ДОВКІЛЛЯ І РІВЕНЬ ЙОГО БЕЗПЕКИ. ЕКОЛОГІЧНА ОСВІТА</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Доступ до інформації гарантується в багатьох країнах і міститься в міжнародних законах, конституціях, окремих законах і постановах або положеннях, які є частиною законів і постанов.</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sz w:val="28"/>
          <w:szCs w:val="28"/>
        </w:rPr>
        <w:t>Захист цих прав, а також екологічних прав – права кожної людини сьогодення і майбутніх поколінь на життя в здоровому навколишньому середовищі, що підходить для</w:t>
      </w:r>
      <w:r w:rsidRPr="002C35DA">
        <w:rPr>
          <w:rFonts w:ascii="Times New Roman" w:eastAsia="Times New Roman" w:hAnsi="Times New Roman" w:cs="Times New Roman"/>
          <w:sz w:val="28"/>
          <w:szCs w:val="28"/>
          <w:lang w:val="ru-RU"/>
        </w:rPr>
        <w:t xml:space="preserve"> </w:t>
      </w:r>
      <w:r w:rsidRPr="002C35DA">
        <w:rPr>
          <w:rFonts w:ascii="Times New Roman" w:eastAsia="Times New Roman" w:hAnsi="Times New Roman" w:cs="Times New Roman"/>
          <w:sz w:val="28"/>
          <w:szCs w:val="28"/>
        </w:rPr>
        <w:t>здоров'я і благополуччя – є основою сталого розвитку</w:t>
      </w:r>
      <w:r w:rsidRPr="002C35DA">
        <w:rPr>
          <w:rFonts w:ascii="Times New Roman" w:eastAsia="Times New Roman" w:hAnsi="Times New Roman" w:cs="Times New Roman"/>
          <w:color w:val="000000"/>
          <w:sz w:val="28"/>
          <w:szCs w:val="28"/>
        </w:rPr>
        <w:t>.</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Однак стан навколишнього середовища і здоров'я людини багато в чому залежить від ефективності процесів прийняття державних рішень і рішень місцевих органів влади. Вони ґрунтуються на продуманих висновках щодо їх впливу на навколишнє середовище та здоров'я людини, що відображають фактори, що становлять суспільний інтерес, та думки, висловлені їх представниками. У цьому контексті доступ до інформації або екологічної інформації про навколишнє середовище є необхідною умовою для діяльності як осіб, що приймають рішення, так і широкої громадськості. </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Вивчення навколишнього середовища та екологічних проблем - це перший крок до забезпечення участі громадськості у прийнятті екологічних рішень та захисті навколишнього середовища. На підставі отриманої інформації громадськість може вирішити, чи необхідно брати участь у певних процедурах прийняття рішень і чи необхідно вживати заходів для доступу до правосуддя.</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Важлива роль у наданні такого роду інформації населенню належить державним установам. </w:t>
      </w:r>
      <w:r w:rsidRPr="002C35DA">
        <w:rPr>
          <w:rFonts w:ascii="Times New Roman" w:eastAsia="Times New Roman" w:hAnsi="Times New Roman" w:cs="Times New Roman"/>
          <w:sz w:val="28"/>
          <w:szCs w:val="28"/>
        </w:rPr>
        <w:t>Державні органи зобов'язані забезпечити становище, при якому громадськість:</w:t>
      </w:r>
    </w:p>
    <w:p w:rsidR="009104C5" w:rsidRPr="002C35DA" w:rsidRDefault="009104C5" w:rsidP="009104C5">
      <w:pPr>
        <w:numPr>
          <w:ilvl w:val="0"/>
          <w:numId w:val="16"/>
        </w:numPr>
        <w:autoSpaceDE w:val="0"/>
        <w:autoSpaceDN w:val="0"/>
        <w:adjustRightInd w:val="0"/>
        <w:spacing w:after="100" w:afterAutospacing="1" w:line="240" w:lineRule="auto"/>
        <w:ind w:left="567" w:right="-457" w:firstLine="0"/>
        <w:contextualSpacing/>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має належні права і можливості доступу до екологічної інформації, а також</w:t>
      </w:r>
    </w:p>
    <w:p w:rsidR="009104C5" w:rsidRPr="002C35DA" w:rsidRDefault="009104C5" w:rsidP="009104C5">
      <w:pPr>
        <w:numPr>
          <w:ilvl w:val="0"/>
          <w:numId w:val="16"/>
        </w:numPr>
        <w:autoSpaceDE w:val="0"/>
        <w:autoSpaceDN w:val="0"/>
        <w:adjustRightInd w:val="0"/>
        <w:spacing w:after="100" w:afterAutospacing="1" w:line="240" w:lineRule="auto"/>
        <w:ind w:left="567" w:right="-457" w:firstLine="0"/>
        <w:contextualSpacing/>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реально одержує необхідну екологічну інформацію в належний терміну належній</w:t>
      </w:r>
      <w:r w:rsidRPr="002C35DA">
        <w:rPr>
          <w:rFonts w:ascii="Times New Roman" w:eastAsia="Times New Roman" w:hAnsi="Times New Roman" w:cs="Times New Roman"/>
          <w:sz w:val="28"/>
          <w:szCs w:val="28"/>
          <w:lang w:val="ru-RU"/>
        </w:rPr>
        <w:t xml:space="preserve"> </w:t>
      </w:r>
      <w:r w:rsidRPr="002C35DA">
        <w:rPr>
          <w:rFonts w:ascii="Times New Roman" w:eastAsia="Times New Roman" w:hAnsi="Times New Roman" w:cs="Times New Roman"/>
          <w:sz w:val="28"/>
          <w:szCs w:val="28"/>
        </w:rPr>
        <w:t>формі й у належному місці.</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Доступ до інформації є основоположним принципом </w:t>
      </w:r>
      <w:proofErr w:type="spellStart"/>
      <w:r w:rsidRPr="002C35DA">
        <w:rPr>
          <w:rFonts w:ascii="Times New Roman" w:eastAsia="Times New Roman" w:hAnsi="Times New Roman" w:cs="Times New Roman"/>
          <w:color w:val="000000"/>
          <w:sz w:val="28"/>
          <w:szCs w:val="28"/>
        </w:rPr>
        <w:t>Орхуської</w:t>
      </w:r>
      <w:proofErr w:type="spellEnd"/>
      <w:r w:rsidRPr="002C35DA">
        <w:rPr>
          <w:rFonts w:ascii="Times New Roman" w:eastAsia="Times New Roman" w:hAnsi="Times New Roman" w:cs="Times New Roman"/>
          <w:color w:val="000000"/>
          <w:sz w:val="28"/>
          <w:szCs w:val="28"/>
        </w:rPr>
        <w:t xml:space="preserve"> конвенції і має важливе значення в якості основи для двох інших основних принципів - участі в процесі прийняття рішень і доступу до правосуддя.</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Доступ до інформації з екологічних питань регламентується Статтею 4, а аспекти</w:t>
      </w:r>
      <w:r w:rsidRPr="002C35DA">
        <w:rPr>
          <w:rFonts w:ascii="Times New Roman" w:eastAsia="Times New Roman" w:hAnsi="Times New Roman" w:cs="Times New Roman"/>
          <w:sz w:val="28"/>
          <w:szCs w:val="28"/>
          <w:lang w:val="ru-RU"/>
        </w:rPr>
        <w:t xml:space="preserve"> </w:t>
      </w:r>
      <w:r w:rsidRPr="002C35DA">
        <w:rPr>
          <w:rFonts w:ascii="Times New Roman" w:eastAsia="Times New Roman" w:hAnsi="Times New Roman" w:cs="Times New Roman"/>
          <w:sz w:val="28"/>
          <w:szCs w:val="28"/>
        </w:rPr>
        <w:t>збору і поширення екологічної інформації – Статтею 5. Положення цих двох статей</w:t>
      </w:r>
      <w:r w:rsidRPr="002C35DA">
        <w:rPr>
          <w:rFonts w:ascii="Times New Roman" w:eastAsia="Times New Roman" w:hAnsi="Times New Roman" w:cs="Times New Roman"/>
          <w:sz w:val="28"/>
          <w:szCs w:val="28"/>
          <w:lang w:val="ru-RU"/>
        </w:rPr>
        <w:t xml:space="preserve"> </w:t>
      </w:r>
      <w:r w:rsidRPr="002C35DA">
        <w:rPr>
          <w:rFonts w:ascii="Times New Roman" w:eastAsia="Times New Roman" w:hAnsi="Times New Roman" w:cs="Times New Roman"/>
          <w:sz w:val="28"/>
          <w:szCs w:val="28"/>
        </w:rPr>
        <w:t>стосуються двох основних аспектів надання інформації: активного і пасивного.</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lastRenderedPageBreak/>
        <w:t>Активне надання інформації припускає обов'язок державних органів або органів місцевого самоврядування поширювати необхідну інформацію з власної ініціативи.</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Пасивне надання інформації – це надання інформації за запитом. </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В Україні наказом Міністра охорони навколишнього природного середовища 18.12.2003, № 169 затверджене Положення «Про порядок надання екологічної інформації» у якому визначений перелік активно розповсюджуваної екологічної інформації і регламентований механізм пасивної видачі інформації</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В </w:t>
      </w:r>
      <w:proofErr w:type="spellStart"/>
      <w:r w:rsidRPr="002C35DA">
        <w:rPr>
          <w:rFonts w:ascii="Times New Roman" w:eastAsia="Times New Roman" w:hAnsi="Times New Roman" w:cs="Times New Roman"/>
          <w:color w:val="000000"/>
          <w:sz w:val="28"/>
          <w:szCs w:val="28"/>
        </w:rPr>
        <w:t>С</w:t>
      </w:r>
      <w:r w:rsidRPr="002C35DA">
        <w:rPr>
          <w:rFonts w:ascii="Times New Roman" w:eastAsia="Times New Roman" w:hAnsi="Times New Roman" w:cs="Times New Roman"/>
          <w:sz w:val="28"/>
          <w:szCs w:val="28"/>
        </w:rPr>
        <w:t>олотвинські</w:t>
      </w:r>
      <w:proofErr w:type="spellEnd"/>
      <w:r w:rsidRPr="002C35DA">
        <w:rPr>
          <w:rFonts w:ascii="Times New Roman" w:eastAsia="Times New Roman" w:hAnsi="Times New Roman" w:cs="Times New Roman"/>
          <w:sz w:val="28"/>
          <w:szCs w:val="28"/>
        </w:rPr>
        <w:t xml:space="preserve"> селищні раді ТГ</w:t>
      </w:r>
      <w:r w:rsidRPr="002C35DA">
        <w:rPr>
          <w:rFonts w:ascii="Times New Roman" w:eastAsia="Times New Roman" w:hAnsi="Times New Roman" w:cs="Times New Roman"/>
          <w:color w:val="000000"/>
          <w:sz w:val="28"/>
          <w:szCs w:val="28"/>
        </w:rPr>
        <w:t xml:space="preserve"> приділяється значна увага екологічно просвітницькій діяльності. В школах проводяться уроки екології, працюють гуртки екологічного виховання.  При </w:t>
      </w:r>
      <w:proofErr w:type="spellStart"/>
      <w:r w:rsidRPr="002C35DA">
        <w:rPr>
          <w:rFonts w:ascii="Times New Roman" w:eastAsia="Calibri" w:hAnsi="Times New Roman" w:cs="Times New Roman"/>
          <w:sz w:val="28"/>
          <w:szCs w:val="28"/>
        </w:rPr>
        <w:t>М</w:t>
      </w:r>
      <w:r w:rsidRPr="002C35DA">
        <w:rPr>
          <w:rFonts w:ascii="Times New Roman" w:eastAsia="Times New Roman" w:hAnsi="Times New Roman" w:cs="Times New Roman"/>
          <w:color w:val="000000"/>
          <w:sz w:val="28"/>
          <w:szCs w:val="28"/>
        </w:rPr>
        <w:t>анявськ</w:t>
      </w:r>
      <w:r w:rsidRPr="002C35DA">
        <w:rPr>
          <w:rFonts w:ascii="Times New Roman" w:eastAsia="Calibri" w:hAnsi="Times New Roman" w:cs="Times New Roman"/>
          <w:sz w:val="28"/>
          <w:szCs w:val="28"/>
        </w:rPr>
        <w:t>ому</w:t>
      </w:r>
      <w:proofErr w:type="spellEnd"/>
      <w:r w:rsidRPr="002C35DA">
        <w:rPr>
          <w:rFonts w:ascii="Times New Roman" w:eastAsia="Times New Roman" w:hAnsi="Times New Roman" w:cs="Times New Roman"/>
          <w:color w:val="000000"/>
          <w:sz w:val="28"/>
          <w:szCs w:val="28"/>
        </w:rPr>
        <w:t xml:space="preserve"> ліцеї працюють гуртки «Юний д</w:t>
      </w:r>
      <w:r w:rsidRPr="002C35DA">
        <w:rPr>
          <w:rFonts w:ascii="Times New Roman" w:eastAsia="Calibri" w:hAnsi="Times New Roman" w:cs="Times New Roman"/>
          <w:sz w:val="28"/>
          <w:szCs w:val="28"/>
        </w:rPr>
        <w:t xml:space="preserve">ослідник» та «Учнівське лісництво», а також клуб екологічно-свідомої молоді «Юні лісові </w:t>
      </w:r>
      <w:proofErr w:type="spellStart"/>
      <w:r w:rsidRPr="002C35DA">
        <w:rPr>
          <w:rFonts w:ascii="Times New Roman" w:eastAsia="Calibri" w:hAnsi="Times New Roman" w:cs="Times New Roman"/>
          <w:sz w:val="28"/>
          <w:szCs w:val="28"/>
        </w:rPr>
        <w:t>рейнджери</w:t>
      </w:r>
      <w:proofErr w:type="spellEnd"/>
      <w:r w:rsidRPr="002C35DA">
        <w:rPr>
          <w:rFonts w:ascii="Times New Roman" w:eastAsia="Calibri" w:hAnsi="Times New Roman" w:cs="Times New Roman"/>
          <w:sz w:val="28"/>
          <w:szCs w:val="28"/>
        </w:rPr>
        <w:t>».</w:t>
      </w:r>
    </w:p>
    <w:p w:rsidR="009104C5" w:rsidRPr="002C35DA" w:rsidRDefault="009104C5" w:rsidP="009104C5">
      <w:pPr>
        <w:tabs>
          <w:tab w:val="left" w:pos="990"/>
        </w:tabs>
        <w:spacing w:after="100" w:afterAutospacing="1" w:line="240" w:lineRule="auto"/>
        <w:ind w:left="567" w:right="-457"/>
        <w:jc w:val="both"/>
        <w:rPr>
          <w:rFonts w:ascii="Times New Roman" w:eastAsia="Times New Roman" w:hAnsi="Times New Roman" w:cs="Times New Roman"/>
          <w:color w:val="000000"/>
          <w:sz w:val="28"/>
          <w:szCs w:val="28"/>
        </w:rPr>
      </w:pPr>
      <w:r w:rsidRPr="002C35DA">
        <w:rPr>
          <w:rFonts w:ascii="Times New Roman" w:eastAsia="Times New Roman" w:hAnsi="Times New Roman" w:cs="Times New Roman"/>
          <w:color w:val="000000"/>
          <w:sz w:val="28"/>
          <w:szCs w:val="28"/>
        </w:rPr>
        <w:t xml:space="preserve">В селі </w:t>
      </w:r>
      <w:proofErr w:type="spellStart"/>
      <w:r w:rsidRPr="002C35DA">
        <w:rPr>
          <w:rFonts w:ascii="Times New Roman" w:eastAsia="Times New Roman" w:hAnsi="Times New Roman" w:cs="Times New Roman"/>
          <w:color w:val="000000"/>
          <w:sz w:val="28"/>
          <w:szCs w:val="28"/>
        </w:rPr>
        <w:t>Манява</w:t>
      </w:r>
      <w:proofErr w:type="spellEnd"/>
      <w:r w:rsidRPr="002C35DA">
        <w:rPr>
          <w:rFonts w:ascii="Times New Roman" w:eastAsia="Times New Roman" w:hAnsi="Times New Roman" w:cs="Times New Roman"/>
          <w:color w:val="000000"/>
          <w:sz w:val="28"/>
          <w:szCs w:val="28"/>
        </w:rPr>
        <w:t xml:space="preserve"> створено громадську організацію «Блаженний камінь», яка займається вивченням історії </w:t>
      </w:r>
      <w:proofErr w:type="spellStart"/>
      <w:r w:rsidRPr="002C35DA">
        <w:rPr>
          <w:rFonts w:ascii="Times New Roman" w:eastAsia="Times New Roman" w:hAnsi="Times New Roman" w:cs="Times New Roman"/>
          <w:color w:val="000000"/>
          <w:sz w:val="28"/>
          <w:szCs w:val="28"/>
        </w:rPr>
        <w:t>Манявського</w:t>
      </w:r>
      <w:proofErr w:type="spellEnd"/>
      <w:r w:rsidRPr="002C35DA">
        <w:rPr>
          <w:rFonts w:ascii="Times New Roman" w:eastAsia="Times New Roman" w:hAnsi="Times New Roman" w:cs="Times New Roman"/>
          <w:color w:val="000000"/>
          <w:sz w:val="28"/>
          <w:szCs w:val="28"/>
        </w:rPr>
        <w:t xml:space="preserve"> монастиря та просвітницькою екологічною діяльністю, а також в с. </w:t>
      </w:r>
      <w:proofErr w:type="spellStart"/>
      <w:r w:rsidRPr="002C35DA">
        <w:rPr>
          <w:rFonts w:ascii="Times New Roman" w:eastAsia="Times New Roman" w:hAnsi="Times New Roman" w:cs="Times New Roman"/>
          <w:color w:val="000000"/>
          <w:sz w:val="28"/>
          <w:szCs w:val="28"/>
        </w:rPr>
        <w:t>Манява</w:t>
      </w:r>
      <w:proofErr w:type="spellEnd"/>
      <w:r w:rsidRPr="002C35DA">
        <w:rPr>
          <w:rFonts w:ascii="Times New Roman" w:eastAsia="Times New Roman" w:hAnsi="Times New Roman" w:cs="Times New Roman"/>
          <w:color w:val="000000"/>
          <w:sz w:val="28"/>
          <w:szCs w:val="28"/>
        </w:rPr>
        <w:t xml:space="preserve"> створено «Музей ведмедя». Питання охорони навколишнього природного середовища висвітлюється в засобах масової інформації.</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Екологічна освіта повинна бути спрямована на поширення інформації щодо актуальних проблем екології, підвищення рівня освіти в галузі охорони навколишнього природного середовища, формування в суспільстві екологічно орієнтованого світогляду, розуміння катастрофічних наслідків антропогенного навантаження на довкілля.</w:t>
      </w:r>
    </w:p>
    <w:p w:rsidR="009104C5" w:rsidRPr="002C35DA" w:rsidRDefault="009104C5" w:rsidP="009104C5">
      <w:pPr>
        <w:autoSpaceDE w:val="0"/>
        <w:autoSpaceDN w:val="0"/>
        <w:adjustRightInd w:val="0"/>
        <w:spacing w:after="100" w:afterAutospacing="1" w:line="240" w:lineRule="auto"/>
        <w:ind w:left="567" w:right="-457"/>
        <w:jc w:val="center"/>
        <w:rPr>
          <w:rFonts w:ascii="Times New Roman" w:eastAsia="Times New Roman" w:hAnsi="Times New Roman" w:cs="Times New Roman"/>
          <w:b/>
          <w:sz w:val="28"/>
          <w:szCs w:val="28"/>
        </w:rPr>
      </w:pPr>
      <w:r w:rsidRPr="002C35DA">
        <w:rPr>
          <w:rFonts w:ascii="Times New Roman" w:eastAsia="Times New Roman" w:hAnsi="Times New Roman" w:cs="Times New Roman"/>
          <w:b/>
          <w:sz w:val="28"/>
          <w:szCs w:val="28"/>
        </w:rPr>
        <w:t>9. ОСНОВНІ ЕКОЛОГІЧНІ ПРОБЛЕМИ</w:t>
      </w:r>
    </w:p>
    <w:p w:rsidR="009104C5" w:rsidRPr="002C35DA" w:rsidRDefault="009104C5" w:rsidP="009104C5">
      <w:pPr>
        <w:autoSpaceDE w:val="0"/>
        <w:autoSpaceDN w:val="0"/>
        <w:adjustRightInd w:val="0"/>
        <w:spacing w:after="100" w:afterAutospacing="1" w:line="240" w:lineRule="auto"/>
        <w:ind w:left="567" w:right="-457"/>
        <w:jc w:val="both"/>
        <w:rPr>
          <w:rFonts w:ascii="Times New Roman" w:eastAsia="Times New Roman" w:hAnsi="Times New Roman" w:cs="Times New Roman"/>
          <w:sz w:val="28"/>
          <w:szCs w:val="28"/>
        </w:rPr>
      </w:pPr>
      <w:r w:rsidRPr="002C35DA">
        <w:rPr>
          <w:rFonts w:ascii="Times New Roman" w:eastAsia="Times New Roman" w:hAnsi="Times New Roman" w:cs="Times New Roman"/>
          <w:sz w:val="28"/>
          <w:szCs w:val="28"/>
        </w:rPr>
        <w:t>На основі аналізу стану компонентів навколишнього природного середовища на території громади визначені такі екологічні проблеми:</w:t>
      </w:r>
    </w:p>
    <w:p w:rsidR="009104C5" w:rsidRPr="002C35DA" w:rsidRDefault="009104C5" w:rsidP="009104C5">
      <w:pPr>
        <w:numPr>
          <w:ilvl w:val="2"/>
          <w:numId w:val="14"/>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створення екологічних проблем через періодичне підтоплення частини населених пунктів річкою Бистриця Солотвинська та річки </w:t>
      </w:r>
      <w:proofErr w:type="spellStart"/>
      <w:r w:rsidRPr="002C35DA">
        <w:rPr>
          <w:rFonts w:ascii="Times New Roman" w:eastAsia="Times New Roman" w:hAnsi="Times New Roman" w:cs="Times New Roman"/>
          <w:sz w:val="28"/>
          <w:szCs w:val="28"/>
          <w:lang w:eastAsia="uk-UA"/>
        </w:rPr>
        <w:t>Манявка</w:t>
      </w:r>
      <w:proofErr w:type="spellEnd"/>
      <w:r w:rsidRPr="002C35DA">
        <w:rPr>
          <w:rFonts w:ascii="Times New Roman" w:eastAsia="Times New Roman" w:hAnsi="Times New Roman" w:cs="Times New Roman"/>
          <w:sz w:val="28"/>
          <w:szCs w:val="28"/>
          <w:lang w:eastAsia="uk-UA"/>
        </w:rPr>
        <w:t>, потічків в населених пунктах.</w:t>
      </w:r>
    </w:p>
    <w:p w:rsidR="009104C5" w:rsidRPr="002C35DA" w:rsidRDefault="009104C5" w:rsidP="009104C5">
      <w:pPr>
        <w:numPr>
          <w:ilvl w:val="2"/>
          <w:numId w:val="14"/>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недостатнє використання технологій роздільного збирання та утилізації відходів. </w:t>
      </w:r>
    </w:p>
    <w:p w:rsidR="009104C5" w:rsidRPr="002C35DA" w:rsidRDefault="009104C5" w:rsidP="009104C5">
      <w:pPr>
        <w:numPr>
          <w:ilvl w:val="2"/>
          <w:numId w:val="14"/>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незавершеність роботи з винесення в натуру чинних на території ТГ об'єктів природно-заповідного фонду, а також прибережно-захисних смуг</w:t>
      </w:r>
    </w:p>
    <w:p w:rsidR="009104C5" w:rsidRPr="002C35DA" w:rsidRDefault="009104C5" w:rsidP="009104C5">
      <w:pPr>
        <w:numPr>
          <w:ilvl w:val="2"/>
          <w:numId w:val="14"/>
        </w:numPr>
        <w:tabs>
          <w:tab w:val="left" w:pos="567"/>
        </w:tabs>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забруднення навколишнього середовища господарсько-побутовими відходами;</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В результаті несприятливих антропогенних факторів чисельність видів флори і фауни України знаходиться на межі зникнення. Найбільшою загрозою </w:t>
      </w:r>
      <w:proofErr w:type="spellStart"/>
      <w:r w:rsidRPr="002C35DA">
        <w:rPr>
          <w:rFonts w:ascii="Times New Roman" w:eastAsia="Times New Roman" w:hAnsi="Times New Roman" w:cs="Times New Roman"/>
          <w:sz w:val="28"/>
          <w:szCs w:val="28"/>
          <w:lang w:eastAsia="uk-UA"/>
        </w:rPr>
        <w:t>біорізноманіттю</w:t>
      </w:r>
      <w:proofErr w:type="spellEnd"/>
      <w:r w:rsidRPr="002C35DA">
        <w:rPr>
          <w:rFonts w:ascii="Times New Roman" w:eastAsia="Times New Roman" w:hAnsi="Times New Roman" w:cs="Times New Roman"/>
          <w:sz w:val="28"/>
          <w:szCs w:val="28"/>
          <w:lang w:eastAsia="uk-UA"/>
        </w:rPr>
        <w:t xml:space="preserve"> є порушення цілісності та єдності природної рослинності. Цей </w:t>
      </w:r>
      <w:r w:rsidRPr="002C35DA">
        <w:rPr>
          <w:rFonts w:ascii="Times New Roman" w:eastAsia="Times New Roman" w:hAnsi="Times New Roman" w:cs="Times New Roman"/>
          <w:sz w:val="28"/>
          <w:szCs w:val="28"/>
          <w:lang w:eastAsia="uk-UA"/>
        </w:rPr>
        <w:lastRenderedPageBreak/>
        <w:t xml:space="preserve">процес є результатом фрагментації, викликаної надмірним розвитком сільського господарства в регіоні, урбанізацією і руйнуванням рослинності в результаті осушення ґрунту. Фрагментація рослинності, що наближається до 50%, призводить до порушення гідрологічного режиму регіону, клімат стає більш континентальним, швидкість вітру збільшується, відбувається ерозія ґрунтів, умови існування всіх видів знижуються. </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Зараз на автомобільний транспорт припадає більша п</w:t>
      </w:r>
      <w:r w:rsidRPr="002C35DA">
        <w:rPr>
          <w:rFonts w:ascii="Times New Roman" w:eastAsia="Times New Roman" w:hAnsi="Times New Roman" w:cs="Times New Roman"/>
          <w:color w:val="000000"/>
          <w:sz w:val="28"/>
          <w:szCs w:val="28"/>
          <w:lang w:eastAsia="uk-UA"/>
        </w:rPr>
        <w:t>оловина</w:t>
      </w:r>
      <w:r w:rsidRPr="002C35DA">
        <w:rPr>
          <w:rFonts w:ascii="Times New Roman" w:eastAsia="Times New Roman" w:hAnsi="Times New Roman" w:cs="Times New Roman"/>
          <w:sz w:val="28"/>
          <w:szCs w:val="28"/>
          <w:lang w:eastAsia="uk-UA"/>
        </w:rPr>
        <w:t xml:space="preserve"> шкідливих викидів у навколишнє середовище, що є основною причиною забруднення повітря. Забруднення повітря викликане викидами, що утворюються при роботі двигунів внутрішнього згоряння. При використанні електрики в якості джерела руху, таких викидів немає. Кількість викидів в повітря залежить від режиму роботи двигуна. Викиди містять 7-8% токсичних газів. Основними забруднювачами є CO, CO</w:t>
      </w:r>
      <w:r w:rsidRPr="002C35DA">
        <w:rPr>
          <w:rFonts w:ascii="Times New Roman" w:eastAsia="Times New Roman" w:hAnsi="Times New Roman" w:cs="Times New Roman"/>
          <w:sz w:val="28"/>
          <w:szCs w:val="28"/>
          <w:vertAlign w:val="subscript"/>
          <w:lang w:eastAsia="uk-UA"/>
        </w:rPr>
        <w:t>2</w:t>
      </w:r>
      <w:r w:rsidRPr="002C35DA">
        <w:rPr>
          <w:rFonts w:ascii="Times New Roman" w:eastAsia="Times New Roman" w:hAnsi="Times New Roman" w:cs="Times New Roman"/>
          <w:sz w:val="28"/>
          <w:szCs w:val="28"/>
          <w:lang w:eastAsia="uk-UA"/>
        </w:rPr>
        <w:t xml:space="preserve"> та сажа. До викидів шкідливих речовин відносяться вихлопні гази автомобільних двигунів, випаровування з енергосистем, дека палива і масла при експлуатації і обслуговуванні автомобілів, а також продукти тертя і зносу колодок зчеплення, гальмівних колодок і шин. Шкідливі компоненти включають тверді викиди, що містять свинець. Вплив автомобільного транспорту на флору і фауну негативно і проявляється в руйнуванні місць проживання тварин, фрагментації сезонних і добових частин тварин автомобільними дорогами і контакті з транспортними засобами.</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 Шумове забруднення також є формою негативного впливу автомобільного транспорту на навколишнє середовище. Основними джерелами шуму є робота впуску карбюратором і вихлопними газами, робота вентилятора системи охолодження, клапанного механізму і трансмісії. В дизельних  транспортних засобів джерелом шуму є як система уприскування, так і взаємодія між шиною і дорожнім покриттям, при цьому шум системи уприскування переважає на низькій швидкості, а взаємодія між шиною і дорожнім покриттям переважає на високій швидкості. </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Утворення стічних вод пов’язане з використанням води при митті автомобілів. Основними забруднювачами цих стічних вод є частинки пилу, сажа, паливо та мастильні матеріали, а також самі миючі засоби. Відходи, що утворюються при експлуатації автомобіля, в основному представлені використаними шинами, які відносяться до IV класу небезпеки і повинні бути зібрані і передані на переробку.</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i/>
          <w:iCs/>
          <w:sz w:val="28"/>
          <w:szCs w:val="28"/>
          <w:lang w:eastAsia="uk-UA"/>
        </w:rPr>
      </w:pPr>
      <w:r w:rsidRPr="002C35DA">
        <w:rPr>
          <w:rFonts w:ascii="Times New Roman" w:eastAsia="Times New Roman" w:hAnsi="Times New Roman" w:cs="Times New Roman"/>
          <w:i/>
          <w:iCs/>
          <w:sz w:val="28"/>
          <w:szCs w:val="28"/>
          <w:lang w:eastAsia="uk-UA"/>
        </w:rPr>
        <w:t xml:space="preserve">Рослинність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ru-RU"/>
        </w:rPr>
      </w:pPr>
      <w:r w:rsidRPr="002C35DA">
        <w:rPr>
          <w:rFonts w:ascii="Times New Roman" w:eastAsia="Times New Roman" w:hAnsi="Times New Roman" w:cs="Times New Roman"/>
          <w:sz w:val="28"/>
          <w:szCs w:val="28"/>
          <w:lang w:eastAsia="ru-RU"/>
        </w:rPr>
        <w:t xml:space="preserve">Флора </w:t>
      </w:r>
      <w:r w:rsidRPr="002C35DA">
        <w:rPr>
          <w:rFonts w:ascii="Times New Roman" w:eastAsia="Calibri" w:hAnsi="Times New Roman" w:cs="Times New Roman"/>
          <w:sz w:val="28"/>
          <w:szCs w:val="28"/>
        </w:rPr>
        <w:t>на території громади</w:t>
      </w:r>
      <w:r w:rsidRPr="002C35DA">
        <w:rPr>
          <w:rFonts w:ascii="Calibri" w:eastAsia="Calibri" w:hAnsi="Calibri" w:cs="Times New Roman"/>
          <w:sz w:val="28"/>
          <w:szCs w:val="28"/>
        </w:rPr>
        <w:t>,</w:t>
      </w:r>
      <w:r w:rsidRPr="002C35DA">
        <w:rPr>
          <w:rFonts w:ascii="Times New Roman" w:eastAsia="Times New Roman" w:hAnsi="Times New Roman" w:cs="Times New Roman"/>
          <w:sz w:val="28"/>
          <w:szCs w:val="28"/>
          <w:lang w:eastAsia="ru-RU"/>
        </w:rPr>
        <w:t xml:space="preserve"> дуже багата і різноманітна у своєму видовому складі. В основному рослинний покрив представлений середньоєвропейськими широколистяними лісами: бук лісовий або звичайний, граб звичайний, дуб звичайний і скельний, липа </w:t>
      </w:r>
      <w:proofErr w:type="spellStart"/>
      <w:r w:rsidRPr="002C35DA">
        <w:rPr>
          <w:rFonts w:ascii="Times New Roman" w:eastAsia="Times New Roman" w:hAnsi="Times New Roman" w:cs="Times New Roman"/>
          <w:sz w:val="28"/>
          <w:szCs w:val="28"/>
          <w:lang w:eastAsia="ru-RU"/>
        </w:rPr>
        <w:t>серцелиста</w:t>
      </w:r>
      <w:proofErr w:type="spellEnd"/>
      <w:r w:rsidRPr="002C35DA">
        <w:rPr>
          <w:rFonts w:ascii="Times New Roman" w:eastAsia="Times New Roman" w:hAnsi="Times New Roman" w:cs="Times New Roman"/>
          <w:sz w:val="28"/>
          <w:szCs w:val="28"/>
          <w:lang w:eastAsia="ru-RU"/>
        </w:rPr>
        <w:t xml:space="preserve">, клен, явір; з трав'яних: переліска багаторічна, арум плямистий, </w:t>
      </w:r>
      <w:proofErr w:type="spellStart"/>
      <w:r w:rsidRPr="002C35DA">
        <w:rPr>
          <w:rFonts w:ascii="Times New Roman" w:eastAsia="Times New Roman" w:hAnsi="Times New Roman" w:cs="Times New Roman"/>
          <w:sz w:val="28"/>
          <w:szCs w:val="28"/>
          <w:lang w:eastAsia="ru-RU"/>
        </w:rPr>
        <w:t>астранція</w:t>
      </w:r>
      <w:proofErr w:type="spellEnd"/>
      <w:r w:rsidRPr="002C35DA">
        <w:rPr>
          <w:rFonts w:ascii="Times New Roman" w:eastAsia="Times New Roman" w:hAnsi="Times New Roman" w:cs="Times New Roman"/>
          <w:sz w:val="28"/>
          <w:szCs w:val="28"/>
          <w:lang w:eastAsia="ru-RU"/>
        </w:rPr>
        <w:t xml:space="preserve"> велика, білоцвіт весняний та ін. </w:t>
      </w:r>
      <w:r w:rsidRPr="002C35DA">
        <w:rPr>
          <w:rFonts w:ascii="Times New Roman" w:eastAsia="Times New Roman" w:hAnsi="Times New Roman" w:cs="Times New Roman"/>
          <w:sz w:val="28"/>
          <w:szCs w:val="28"/>
          <w:lang w:eastAsia="ru-RU"/>
        </w:rPr>
        <w:lastRenderedPageBreak/>
        <w:t xml:space="preserve">Значну роль у флорі відіграють тайгові євро-сибірські форми, такі як ялина європейська, ялина гірська, смерека біла, яловець сибірський та інші. </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Трав’яниста рослинність представлена переважно луками, що є природними сінокосами і пасовищами. Лучна рослинність поширена по заплавах рік та по верхніх терасах і вододілах. Суходільні луки займають міжрічкові простори. Флору таких лук складають костриці лучна і червона, мітлиця тонка, конюшина лучна і повзуча, з лікарських рослин зустрічаються </w:t>
      </w:r>
      <w:proofErr w:type="spellStart"/>
      <w:r w:rsidRPr="002C35DA">
        <w:rPr>
          <w:rFonts w:ascii="Times New Roman" w:eastAsia="Times New Roman" w:hAnsi="Times New Roman" w:cs="Times New Roman"/>
          <w:sz w:val="28"/>
          <w:szCs w:val="28"/>
          <w:lang w:eastAsia="uk-UA"/>
        </w:rPr>
        <w:t>строкатки</w:t>
      </w:r>
      <w:proofErr w:type="spellEnd"/>
      <w:r w:rsidRPr="002C35DA">
        <w:rPr>
          <w:rFonts w:ascii="Times New Roman" w:eastAsia="Times New Roman" w:hAnsi="Times New Roman" w:cs="Times New Roman"/>
          <w:sz w:val="28"/>
          <w:szCs w:val="28"/>
          <w:lang w:eastAsia="uk-UA"/>
        </w:rPr>
        <w:t xml:space="preserve">, оман високий, </w:t>
      </w:r>
      <w:proofErr w:type="spellStart"/>
      <w:r w:rsidRPr="002C35DA">
        <w:rPr>
          <w:rFonts w:ascii="Times New Roman" w:eastAsia="Times New Roman" w:hAnsi="Times New Roman" w:cs="Times New Roman"/>
          <w:sz w:val="28"/>
          <w:szCs w:val="28"/>
          <w:lang w:eastAsia="uk-UA"/>
        </w:rPr>
        <w:t>дягел</w:t>
      </w:r>
      <w:proofErr w:type="spellEnd"/>
      <w:r w:rsidRPr="002C35DA">
        <w:rPr>
          <w:rFonts w:ascii="Times New Roman" w:eastAsia="Times New Roman" w:hAnsi="Times New Roman" w:cs="Times New Roman"/>
          <w:sz w:val="28"/>
          <w:szCs w:val="28"/>
          <w:lang w:eastAsia="uk-UA"/>
        </w:rPr>
        <w:t xml:space="preserve"> лікарський, буквиця лікарська, череда </w:t>
      </w:r>
      <w:proofErr w:type="spellStart"/>
      <w:r w:rsidRPr="002C35DA">
        <w:rPr>
          <w:rFonts w:ascii="Times New Roman" w:eastAsia="Times New Roman" w:hAnsi="Times New Roman" w:cs="Times New Roman"/>
          <w:sz w:val="28"/>
          <w:szCs w:val="28"/>
          <w:lang w:eastAsia="uk-UA"/>
        </w:rPr>
        <w:t>трироздільна</w:t>
      </w:r>
      <w:proofErr w:type="spellEnd"/>
      <w:r w:rsidRPr="002C35DA">
        <w:rPr>
          <w:rFonts w:ascii="Times New Roman" w:eastAsia="Times New Roman" w:hAnsi="Times New Roman" w:cs="Times New Roman"/>
          <w:sz w:val="28"/>
          <w:szCs w:val="28"/>
          <w:lang w:eastAsia="uk-UA"/>
        </w:rPr>
        <w:t xml:space="preserve"> тощо.</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i/>
          <w:iCs/>
          <w:sz w:val="28"/>
          <w:szCs w:val="28"/>
          <w:lang w:eastAsia="uk-UA"/>
        </w:rPr>
      </w:pPr>
      <w:r w:rsidRPr="002C35DA">
        <w:rPr>
          <w:rFonts w:ascii="Times New Roman" w:eastAsia="Times New Roman" w:hAnsi="Times New Roman" w:cs="Times New Roman"/>
          <w:i/>
          <w:iCs/>
          <w:sz w:val="28"/>
          <w:szCs w:val="28"/>
          <w:lang w:eastAsia="uk-UA"/>
        </w:rPr>
        <w:t>Ліси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На території Солотвинської селищної ради здійснюють свою діяльність такі лісові господарства:</w:t>
      </w:r>
    </w:p>
    <w:p w:rsidR="009104C5" w:rsidRPr="002C35DA" w:rsidRDefault="009104C5" w:rsidP="009104C5">
      <w:pPr>
        <w:numPr>
          <w:ilvl w:val="0"/>
          <w:numId w:val="11"/>
        </w:numPr>
        <w:spacing w:after="100" w:afterAutospacing="1" w:line="240" w:lineRule="auto"/>
        <w:ind w:left="567" w:right="-457" w:firstLine="0"/>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Філія </w:t>
      </w:r>
      <w:proofErr w:type="spellStart"/>
      <w:r w:rsidRPr="002C35DA">
        <w:rPr>
          <w:rFonts w:ascii="Times New Roman" w:eastAsia="Times New Roman" w:hAnsi="Times New Roman" w:cs="Times New Roman"/>
          <w:sz w:val="28"/>
          <w:szCs w:val="28"/>
          <w:lang w:eastAsia="uk-UA"/>
        </w:rPr>
        <w:t>Осмолодського</w:t>
      </w:r>
      <w:proofErr w:type="spellEnd"/>
      <w:r w:rsidRPr="002C35DA">
        <w:rPr>
          <w:rFonts w:ascii="Times New Roman" w:eastAsia="Times New Roman" w:hAnsi="Times New Roman" w:cs="Times New Roman"/>
          <w:sz w:val="28"/>
          <w:szCs w:val="28"/>
          <w:lang w:eastAsia="uk-UA"/>
        </w:rPr>
        <w:t xml:space="preserve"> лісового господарства</w:t>
      </w:r>
    </w:p>
    <w:p w:rsidR="009104C5" w:rsidRPr="002C35DA" w:rsidRDefault="009104C5" w:rsidP="009104C5">
      <w:pPr>
        <w:numPr>
          <w:ilvl w:val="0"/>
          <w:numId w:val="11"/>
        </w:numPr>
        <w:spacing w:after="100" w:afterAutospacing="1" w:line="240" w:lineRule="auto"/>
        <w:ind w:left="567" w:right="-457" w:firstLine="0"/>
        <w:jc w:val="both"/>
        <w:rPr>
          <w:rFonts w:ascii="Times New Roman" w:eastAsia="Times New Roman" w:hAnsi="Times New Roman" w:cs="Times New Roman"/>
          <w:sz w:val="28"/>
          <w:szCs w:val="28"/>
          <w:lang w:eastAsia="uk-UA"/>
        </w:rPr>
      </w:pPr>
      <w:proofErr w:type="spellStart"/>
      <w:r w:rsidRPr="002C35DA">
        <w:rPr>
          <w:rFonts w:ascii="Times New Roman" w:eastAsia="Times New Roman" w:hAnsi="Times New Roman" w:cs="Times New Roman"/>
          <w:sz w:val="28"/>
          <w:szCs w:val="28"/>
          <w:lang w:eastAsia="uk-UA"/>
        </w:rPr>
        <w:t>Богородчанський</w:t>
      </w:r>
      <w:proofErr w:type="spellEnd"/>
      <w:r w:rsidRPr="002C35DA">
        <w:rPr>
          <w:rFonts w:ascii="Times New Roman" w:eastAsia="Times New Roman" w:hAnsi="Times New Roman" w:cs="Times New Roman"/>
          <w:sz w:val="28"/>
          <w:szCs w:val="28"/>
          <w:lang w:eastAsia="uk-UA"/>
        </w:rPr>
        <w:t xml:space="preserve"> </w:t>
      </w:r>
      <w:proofErr w:type="spellStart"/>
      <w:r w:rsidRPr="002C35DA">
        <w:rPr>
          <w:rFonts w:ascii="Times New Roman" w:eastAsia="Times New Roman" w:hAnsi="Times New Roman" w:cs="Times New Roman"/>
          <w:sz w:val="28"/>
          <w:szCs w:val="28"/>
          <w:lang w:eastAsia="uk-UA"/>
        </w:rPr>
        <w:t>спецагролісгосп</w:t>
      </w:r>
      <w:proofErr w:type="spellEnd"/>
      <w:r w:rsidRPr="002C35DA">
        <w:rPr>
          <w:rFonts w:ascii="Times New Roman" w:eastAsia="Times New Roman" w:hAnsi="Times New Roman" w:cs="Times New Roman"/>
          <w:sz w:val="28"/>
          <w:szCs w:val="28"/>
          <w:lang w:eastAsia="uk-UA"/>
        </w:rPr>
        <w:t>.</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Підвищення продуктивності лісів неможливо без застосування заходів щ</w:t>
      </w:r>
      <w:r w:rsidRPr="002C35DA">
        <w:rPr>
          <w:rFonts w:ascii="Times New Roman" w:eastAsia="Times New Roman" w:hAnsi="Times New Roman" w:cs="Times New Roman"/>
          <w:color w:val="000000"/>
          <w:sz w:val="28"/>
          <w:szCs w:val="28"/>
          <w:lang w:eastAsia="uk-UA"/>
        </w:rPr>
        <w:t>одо</w:t>
      </w:r>
      <w:r w:rsidRPr="002C35DA">
        <w:rPr>
          <w:rFonts w:ascii="Times New Roman" w:eastAsia="Times New Roman" w:hAnsi="Times New Roman" w:cs="Times New Roman"/>
          <w:sz w:val="28"/>
          <w:szCs w:val="28"/>
          <w:lang w:eastAsia="uk-UA"/>
        </w:rPr>
        <w:t xml:space="preserve"> боротьби з хворобами із шкідниками, які знижують продуктивність плантацій і зводять нанівець всі роботи, пов'язані з лісівництвом.</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Ліси в гірських і горбистих районах мають велике економічне значення, тому працівники лісової охорони в Карпатах стикаються з особливо відповідальною роботою.</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Нинішній санітарний стан карпатських лісів обумовлений впливом антропогенних і природних факторів. В останні роки відомо, що сильні шторми та вітри завдають значної шкоди ялиновим насадженням. </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Відсутність розчищення лісозаготівельних ділянок погіршує санітарний стан лісу. </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Поширення кореневої гнилі, </w:t>
      </w:r>
      <w:r w:rsidRPr="002C35DA">
        <w:rPr>
          <w:rFonts w:ascii="Times New Roman" w:eastAsia="Times New Roman" w:hAnsi="Times New Roman" w:cs="Times New Roman"/>
          <w:bCs/>
          <w:sz w:val="28"/>
          <w:szCs w:val="28"/>
          <w:lang w:eastAsia="uk-UA"/>
        </w:rPr>
        <w:t>які викликаються опеньком і кореневою губкою</w:t>
      </w:r>
      <w:r w:rsidRPr="002C35DA">
        <w:rPr>
          <w:rFonts w:ascii="Times New Roman" w:eastAsia="Times New Roman" w:hAnsi="Times New Roman" w:cs="Times New Roman"/>
          <w:sz w:val="28"/>
          <w:szCs w:val="28"/>
          <w:lang w:eastAsia="uk-UA"/>
        </w:rPr>
        <w:t>, відбувається в основному внаслід</w:t>
      </w:r>
      <w:r w:rsidRPr="002C35DA">
        <w:rPr>
          <w:rFonts w:ascii="Times New Roman" w:eastAsia="Times New Roman" w:hAnsi="Times New Roman" w:cs="Times New Roman"/>
          <w:color w:val="000000"/>
          <w:sz w:val="28"/>
          <w:szCs w:val="28"/>
          <w:lang w:eastAsia="uk-UA"/>
        </w:rPr>
        <w:t>ок</w:t>
      </w:r>
      <w:r w:rsidRPr="002C35DA">
        <w:rPr>
          <w:rFonts w:ascii="Times New Roman" w:eastAsia="Times New Roman" w:hAnsi="Times New Roman" w:cs="Times New Roman"/>
          <w:sz w:val="28"/>
          <w:szCs w:val="28"/>
          <w:lang w:eastAsia="uk-UA"/>
        </w:rPr>
        <w:t xml:space="preserve"> створення єдиної ялинової культури живцями з-під змішаних насаджень, віддаючи перевагу буку і ялиці, в ґрунті яких присутні грибкові пні і залишки коренів.</w:t>
      </w:r>
    </w:p>
    <w:p w:rsidR="009104C5" w:rsidRPr="002C35DA" w:rsidRDefault="009104C5" w:rsidP="009104C5">
      <w:pPr>
        <w:spacing w:before="100" w:beforeAutospacing="1" w:after="100" w:afterAutospacing="1" w:line="240" w:lineRule="auto"/>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 xml:space="preserve">Основним напрямком боротьби з лісовими хворобами і шкідниками повинні бути профілактичні заходи, що забезпечують вирощування біологічно стійких лісів. Для цього необхідно формувати посіви в залежності від умов середовища проживання і типу лісу, з урахуванням санітарного стану окремих ділянок. </w:t>
      </w:r>
      <w:r w:rsidRPr="002C35DA">
        <w:rPr>
          <w:rFonts w:ascii="Times New Roman" w:eastAsia="Times New Roman" w:hAnsi="Times New Roman" w:cs="Times New Roman"/>
          <w:bCs/>
          <w:sz w:val="28"/>
          <w:szCs w:val="28"/>
        </w:rPr>
        <w:t xml:space="preserve">Ліквідація </w:t>
      </w:r>
      <w:proofErr w:type="spellStart"/>
      <w:r w:rsidRPr="002C35DA">
        <w:rPr>
          <w:rFonts w:ascii="Times New Roman" w:eastAsia="Times New Roman" w:hAnsi="Times New Roman" w:cs="Times New Roman"/>
          <w:bCs/>
          <w:sz w:val="28"/>
          <w:szCs w:val="28"/>
        </w:rPr>
        <w:t>осередка</w:t>
      </w:r>
      <w:proofErr w:type="spellEnd"/>
      <w:r w:rsidRPr="002C35DA">
        <w:rPr>
          <w:rFonts w:ascii="Times New Roman" w:eastAsia="Times New Roman" w:hAnsi="Times New Roman" w:cs="Times New Roman"/>
          <w:bCs/>
          <w:sz w:val="28"/>
          <w:szCs w:val="28"/>
        </w:rPr>
        <w:t xml:space="preserve"> опенька чи кореневої губки не кінчається рубкою хворого насадження.</w:t>
      </w:r>
      <w:r w:rsidRPr="002C35DA">
        <w:rPr>
          <w:rFonts w:ascii="Times New Roman" w:eastAsia="Times New Roman" w:hAnsi="Times New Roman" w:cs="Times New Roman"/>
          <w:sz w:val="28"/>
          <w:szCs w:val="28"/>
          <w:lang w:eastAsia="uk-UA"/>
        </w:rPr>
        <w:t xml:space="preserve"> Коріння, які є основною причиною зараження, залишаються, і ці хвороби в кінцевому підсумку поширюються на коріння наступного покоління лісів</w:t>
      </w:r>
      <w:r>
        <w:rPr>
          <w:rFonts w:ascii="Times New Roman" w:eastAsia="Times New Roman" w:hAnsi="Times New Roman" w:cs="Times New Roman"/>
          <w:sz w:val="28"/>
          <w:szCs w:val="28"/>
          <w:lang w:eastAsia="uk-UA"/>
        </w:rPr>
        <w:t>.</w:t>
      </w:r>
    </w:p>
    <w:p w:rsidR="009104C5" w:rsidRPr="002C35DA" w:rsidRDefault="009104C5" w:rsidP="009104C5">
      <w:pPr>
        <w:autoSpaceDE w:val="0"/>
        <w:autoSpaceDN w:val="0"/>
        <w:adjustRightInd w:val="0"/>
        <w:spacing w:after="100" w:afterAutospacing="1" w:line="240" w:lineRule="auto"/>
        <w:ind w:left="567" w:right="-457"/>
        <w:jc w:val="center"/>
        <w:rPr>
          <w:rFonts w:ascii="Times New Roman" w:eastAsia="Times New Roman" w:hAnsi="Times New Roman" w:cs="Times New Roman"/>
          <w:b/>
          <w:sz w:val="28"/>
          <w:szCs w:val="28"/>
        </w:rPr>
      </w:pPr>
      <w:r w:rsidRPr="002C35DA">
        <w:rPr>
          <w:rFonts w:ascii="Times New Roman" w:eastAsia="Times New Roman" w:hAnsi="Times New Roman" w:cs="Times New Roman"/>
          <w:b/>
          <w:sz w:val="28"/>
          <w:szCs w:val="28"/>
        </w:rPr>
        <w:t>10. ОСНОВНІ НАПРЯМИ ПРОГРАМИ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lastRenderedPageBreak/>
        <w:t>Враховуючи реальний стан довкілля, який сформувався на території, основними завданнями програми з охорони навколишнього природного середовища та пріоритетними напрямками екологічної політики громади є:</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Озеленення, продовження роботи видалення аварійних дерев та заміні їх на зелені насадження в межах житлової забудови (прибудинкових територій житлових масивів, впродовж доріг та населених пунктів), подальше розширення зон зелених насаджень.</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Забезпечення при необхідності ліквідації наслідків буреломів та вітровалів, зменшення можливих ризиків виникнення таких ситуацій.</w:t>
      </w:r>
      <w:r w:rsidRPr="002C35DA">
        <w:rPr>
          <w:rFonts w:ascii="Times New Roman" w:eastAsia="Times New Roman" w:hAnsi="Times New Roman" w:cs="Times New Roman"/>
          <w:sz w:val="28"/>
          <w:szCs w:val="28"/>
          <w:lang w:eastAsia="uk-UA"/>
        </w:rPr>
        <w:t xml:space="preserve"> </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 xml:space="preserve">Спеціальна увага приділяється охороні прибережних захисних смуг та водоохоронних зон річок для збереження </w:t>
      </w:r>
      <w:proofErr w:type="spellStart"/>
      <w:r w:rsidRPr="002C35DA">
        <w:rPr>
          <w:rFonts w:ascii="Times New Roman" w:eastAsia="Times New Roman" w:hAnsi="Times New Roman" w:cs="Times New Roman"/>
          <w:sz w:val="28"/>
          <w:szCs w:val="28"/>
          <w:lang w:eastAsia="uk-UA"/>
        </w:rPr>
        <w:t>біорізноманіття</w:t>
      </w:r>
      <w:proofErr w:type="spellEnd"/>
      <w:r w:rsidRPr="002C35DA">
        <w:rPr>
          <w:rFonts w:ascii="Times New Roman" w:eastAsia="Times New Roman" w:hAnsi="Times New Roman" w:cs="Times New Roman"/>
          <w:sz w:val="28"/>
          <w:szCs w:val="28"/>
          <w:lang w:eastAsia="uk-UA"/>
        </w:rPr>
        <w:t xml:space="preserve"> та забезпечення екологічної безпеки водних ресурсів </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Боротьба з несанкціонованим розміщенням твердих побутових відходів, знешкодити  та захоронити трупи тварин, рештки р</w:t>
      </w:r>
      <w:r w:rsidRPr="002C35DA">
        <w:rPr>
          <w:rFonts w:ascii="Times New Roman" w:eastAsia="Times New Roman" w:hAnsi="Times New Roman" w:cs="Times New Roman"/>
          <w:color w:val="000000"/>
          <w:sz w:val="28"/>
          <w:szCs w:val="28"/>
          <w:lang w:eastAsia="uk-UA"/>
        </w:rPr>
        <w:t>о</w:t>
      </w:r>
      <w:r w:rsidRPr="002C35DA">
        <w:rPr>
          <w:rFonts w:ascii="Times New Roman" w:eastAsia="Times New Roman" w:hAnsi="Times New Roman" w:cs="Times New Roman"/>
          <w:sz w:val="28"/>
          <w:szCs w:val="28"/>
          <w:lang w:eastAsia="uk-UA"/>
        </w:rPr>
        <w:t>слинн</w:t>
      </w:r>
      <w:r w:rsidRPr="002C35DA">
        <w:rPr>
          <w:rFonts w:ascii="Times New Roman" w:eastAsia="Times New Roman" w:hAnsi="Times New Roman" w:cs="Times New Roman"/>
          <w:color w:val="000000"/>
          <w:sz w:val="28"/>
          <w:szCs w:val="28"/>
          <w:lang w:eastAsia="uk-UA"/>
        </w:rPr>
        <w:t>ості. Удосконалення системи збору, сортування та забезпечення роздільного збирання твердих побутових відходів.</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Покращення санітарно-екологічного стану водних об'єктів.</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w:t>
      </w:r>
      <w:r w:rsidRPr="002C35DA">
        <w:rPr>
          <w:rFonts w:ascii="Times New Roman" w:eastAsia="Times New Roman" w:hAnsi="Times New Roman" w:cs="Times New Roman"/>
          <w:sz w:val="28"/>
          <w:szCs w:val="28"/>
          <w:lang w:eastAsia="uk-UA"/>
        </w:rPr>
        <w:t xml:space="preserve">творення системи екологічної освіти та інформування населення про стан навколишнього природного середовища. </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w:t>
      </w:r>
      <w:r w:rsidRPr="002C35DA">
        <w:rPr>
          <w:rFonts w:ascii="Times New Roman" w:eastAsia="Times New Roman" w:hAnsi="Times New Roman" w:cs="Times New Roman"/>
          <w:sz w:val="28"/>
          <w:szCs w:val="28"/>
          <w:lang w:eastAsia="uk-UA"/>
        </w:rPr>
        <w:t>меншення викидів і скидів забруднюючих речовин в навколишнє природне середовище.</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Охорона тваринного світу.</w:t>
      </w:r>
    </w:p>
    <w:p w:rsidR="009104C5" w:rsidRPr="002C35DA" w:rsidRDefault="009104C5" w:rsidP="009104C5">
      <w:pPr>
        <w:numPr>
          <w:ilvl w:val="0"/>
          <w:numId w:val="1"/>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Ліквідація причин виникнення надзвичайних екологічних ситуацій.</w:t>
      </w:r>
    </w:p>
    <w:p w:rsidR="009104C5" w:rsidRPr="002C35DA" w:rsidRDefault="009104C5" w:rsidP="009104C5">
      <w:pPr>
        <w:autoSpaceDE w:val="0"/>
        <w:autoSpaceDN w:val="0"/>
        <w:adjustRightInd w:val="0"/>
        <w:spacing w:after="100" w:afterAutospacing="1" w:line="240" w:lineRule="auto"/>
        <w:ind w:left="567" w:right="-457"/>
        <w:jc w:val="center"/>
        <w:rPr>
          <w:rFonts w:ascii="Times New Roman" w:eastAsia="Times New Roman" w:hAnsi="Times New Roman" w:cs="Times New Roman"/>
          <w:b/>
          <w:sz w:val="28"/>
          <w:szCs w:val="28"/>
        </w:rPr>
      </w:pPr>
      <w:r w:rsidRPr="002C35DA">
        <w:rPr>
          <w:rFonts w:ascii="Times New Roman" w:eastAsia="Times New Roman" w:hAnsi="Times New Roman" w:cs="Times New Roman"/>
          <w:b/>
          <w:sz w:val="28"/>
          <w:szCs w:val="28"/>
        </w:rPr>
        <w:t>11. ОЧІКУВАННІ РЕЗУЛЬТАТИ РЕАЛІЗАЦІЇ ПРОГРАМИ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Виконання Програми надасть можливість забезпечити: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1. Реалізацію державної політики у сфері охорони навколишнього середовища: поліпшення екологічної ситуації, екологічного балансу населених пунктів громади та навколишньої території.</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 Досягнення покращення екологічної ситуації на території буде проводитись в двох напрямках:</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а) впровадження заходів, спрямованих на зменшення прямого та опосередкованого впливу людей і господарств на природу в цілому та (або) окремі її елементи(зменшення антропогенного навантаження на природу);</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б) впровадження заходів, спрямованих на підвищення екологічного рівня території:</w:t>
      </w:r>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Покращення стану зелених насаджень та прибережних територій</w:t>
      </w:r>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Зменшення ризику аварій через буреломи та вітровалі</w:t>
      </w:r>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Охорона водних ресурсів та </w:t>
      </w:r>
      <w:proofErr w:type="spellStart"/>
      <w:r w:rsidRPr="002C35DA">
        <w:rPr>
          <w:rFonts w:ascii="Times New Roman" w:eastAsia="Times New Roman" w:hAnsi="Times New Roman" w:cs="Times New Roman"/>
          <w:color w:val="000000"/>
          <w:sz w:val="28"/>
          <w:szCs w:val="28"/>
          <w:lang w:eastAsia="uk-UA"/>
        </w:rPr>
        <w:t>біорізноманіття</w:t>
      </w:r>
      <w:proofErr w:type="spellEnd"/>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Боротьба з несанкціонованими сміттєзвалищами</w:t>
      </w:r>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lastRenderedPageBreak/>
        <w:t>Покращення стану водних об'єктів.</w:t>
      </w:r>
    </w:p>
    <w:p w:rsidR="009104C5" w:rsidRPr="002C35DA" w:rsidRDefault="009104C5" w:rsidP="009104C5">
      <w:pPr>
        <w:numPr>
          <w:ilvl w:val="0"/>
          <w:numId w:val="2"/>
        </w:numPr>
        <w:spacing w:after="100" w:afterAutospacing="1" w:line="240" w:lineRule="auto"/>
        <w:ind w:left="567" w:right="-457" w:firstLine="0"/>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Охорона та покращення стану тваринного світу на території громади</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12. ДЖЕРЕЛА ФІНАНСУВАННЯ ЗАХОДІВ ПРОГРАМИ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Основним джерелом фінансування Програми є акумуляція коштів місцевого бюджету та інших джерел фінансування, не заборонених законодавством. Кошториси витрат на реалізацію Програми складаються в мірі потреб та затверджуються на сесіях ради. Реалізація Програми Солотвинської селищної ради передбачена шляхом виконання заходів наведених в додатку 1 до Програми.</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13. ТЕРМІН РЕАЛІЗАЦІЇ ЗАХОДІВ ПРОГРАМИ</w:t>
      </w: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color w:val="000000"/>
          <w:sz w:val="28"/>
          <w:szCs w:val="28"/>
          <w:lang w:eastAsia="uk-UA"/>
        </w:rPr>
        <w:sectPr w:rsidR="009104C5" w:rsidRPr="002C35DA" w:rsidSect="00E1569C">
          <w:pgSz w:w="11906" w:h="16838"/>
          <w:pgMar w:top="850" w:right="1417" w:bottom="850" w:left="850" w:header="708" w:footer="708" w:gutter="0"/>
          <w:cols w:space="708"/>
          <w:docGrid w:linePitch="360"/>
        </w:sectPr>
      </w:pPr>
      <w:r w:rsidRPr="002C35DA">
        <w:rPr>
          <w:rFonts w:ascii="Times New Roman" w:eastAsia="Times New Roman" w:hAnsi="Times New Roman" w:cs="Times New Roman"/>
          <w:color w:val="000000"/>
          <w:sz w:val="28"/>
          <w:szCs w:val="28"/>
          <w:lang w:eastAsia="uk-UA"/>
        </w:rPr>
        <w:t>Реалізація Програми охорони навколишнього природного середовища Солотвинської об’єднаної територіальної громади передбачена шляхом виконання заходів наведених в додатку 1 до Програми.</w:t>
      </w:r>
    </w:p>
    <w:p w:rsidR="009104C5" w:rsidRPr="002C35DA" w:rsidRDefault="009104C5" w:rsidP="009104C5">
      <w:pPr>
        <w:widowControl w:val="0"/>
        <w:suppressAutoHyphens/>
        <w:spacing w:after="0" w:line="240" w:lineRule="auto"/>
        <w:ind w:left="567" w:right="-457"/>
        <w:jc w:val="center"/>
        <w:rPr>
          <w:rFonts w:ascii="Times New Roman" w:eastAsia="Andale Sans UI" w:hAnsi="Times New Roman" w:cs="Times New Roman"/>
          <w:b/>
          <w:kern w:val="1"/>
          <w:sz w:val="28"/>
          <w:szCs w:val="28"/>
          <w:lang w:eastAsia="ar-SA"/>
        </w:rPr>
      </w:pPr>
      <w:r w:rsidRPr="00E43EEA">
        <w:rPr>
          <w:rFonts w:ascii="Times New Roman" w:eastAsia="Andale Sans UI" w:hAnsi="Times New Roman" w:cs="Times New Roman"/>
          <w:b/>
          <w:kern w:val="1"/>
          <w:sz w:val="28"/>
          <w:szCs w:val="28"/>
          <w:lang w:eastAsia="ar-SA"/>
        </w:rPr>
        <w:lastRenderedPageBreak/>
        <w:t>Перелік заходів з реалізації</w:t>
      </w:r>
    </w:p>
    <w:p w:rsidR="009104C5" w:rsidRPr="002C35DA" w:rsidRDefault="009104C5" w:rsidP="009104C5">
      <w:pPr>
        <w:spacing w:after="100" w:afterAutospacing="1" w:line="240" w:lineRule="auto"/>
        <w:ind w:left="567" w:right="-457"/>
        <w:jc w:val="center"/>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Програми охорони навколишнього природного середовища</w:t>
      </w:r>
      <w:r w:rsidRPr="002C35DA">
        <w:rPr>
          <w:rFonts w:ascii="Times New Roman" w:eastAsia="Times New Roman" w:hAnsi="Times New Roman" w:cs="Times New Roman"/>
          <w:b/>
          <w:bCs/>
          <w:color w:val="000000"/>
          <w:sz w:val="28"/>
          <w:szCs w:val="28"/>
          <w:lang w:eastAsia="uk-UA"/>
        </w:rPr>
        <w:br/>
        <w:t>Солотвинської об’єднаної територіаль</w:t>
      </w:r>
      <w:r>
        <w:rPr>
          <w:rFonts w:ascii="Times New Roman" w:eastAsia="Times New Roman" w:hAnsi="Times New Roman" w:cs="Times New Roman"/>
          <w:b/>
          <w:bCs/>
          <w:color w:val="000000"/>
          <w:sz w:val="28"/>
          <w:szCs w:val="28"/>
          <w:lang w:eastAsia="uk-UA"/>
        </w:rPr>
        <w:t>ної громади</w:t>
      </w:r>
      <w:r>
        <w:rPr>
          <w:rFonts w:ascii="Times New Roman" w:eastAsia="Times New Roman" w:hAnsi="Times New Roman" w:cs="Times New Roman"/>
          <w:b/>
          <w:bCs/>
          <w:color w:val="000000"/>
          <w:sz w:val="28"/>
          <w:szCs w:val="28"/>
          <w:lang w:eastAsia="uk-UA"/>
        </w:rPr>
        <w:br/>
        <w:t>на 2024 – 2026 роки</w:t>
      </w:r>
    </w:p>
    <w:tbl>
      <w:tblPr>
        <w:tblStyle w:val="a3"/>
        <w:tblW w:w="14481" w:type="dxa"/>
        <w:tblLayout w:type="fixed"/>
        <w:tblLook w:val="04A0" w:firstRow="1" w:lastRow="0" w:firstColumn="1" w:lastColumn="0" w:noHBand="0" w:noVBand="1"/>
      </w:tblPr>
      <w:tblGrid>
        <w:gridCol w:w="585"/>
        <w:gridCol w:w="55"/>
        <w:gridCol w:w="4166"/>
        <w:gridCol w:w="21"/>
        <w:gridCol w:w="1725"/>
        <w:gridCol w:w="1747"/>
        <w:gridCol w:w="1882"/>
        <w:gridCol w:w="4300"/>
      </w:tblGrid>
      <w:tr w:rsidR="009104C5" w:rsidRPr="002C35DA" w:rsidTr="00341D6D">
        <w:trPr>
          <w:trHeight w:val="443"/>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 п/</w:t>
            </w:r>
            <w:proofErr w:type="spellStart"/>
            <w:r w:rsidRPr="002C35DA">
              <w:rPr>
                <w:rFonts w:ascii="Times New Roman" w:eastAsia="Times New Roman" w:hAnsi="Times New Roman" w:cs="Times New Roman"/>
                <w:b/>
                <w:bCs/>
                <w:color w:val="000000"/>
                <w:sz w:val="28"/>
                <w:szCs w:val="28"/>
                <w:lang w:eastAsia="uk-UA"/>
              </w:rPr>
              <w:t>п</w:t>
            </w:r>
            <w:proofErr w:type="spellEnd"/>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Зміст заходів</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Термін виконання</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sz w:val="28"/>
                <w:szCs w:val="28"/>
                <w:lang w:eastAsia="uk-UA"/>
              </w:rPr>
              <w:t>Орієнтовна вартість</w:t>
            </w: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Джерела фінансування</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Відповідальні виконавці</w:t>
            </w:r>
          </w:p>
        </w:tc>
      </w:tr>
      <w:tr w:rsidR="009104C5" w:rsidRPr="002C35DA" w:rsidTr="00341D6D">
        <w:trPr>
          <w:trHeight w:val="148"/>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3</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w:t>
            </w: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5</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6</w:t>
            </w:r>
          </w:p>
        </w:tc>
      </w:tr>
      <w:tr w:rsidR="009104C5" w:rsidRPr="002C35DA" w:rsidTr="00341D6D">
        <w:trPr>
          <w:trHeight w:val="148"/>
        </w:trPr>
        <w:tc>
          <w:tcPr>
            <w:tcW w:w="14480" w:type="dxa"/>
            <w:gridSpan w:val="8"/>
          </w:tcPr>
          <w:p w:rsidR="009104C5" w:rsidRPr="002C35DA" w:rsidRDefault="009104C5" w:rsidP="00341D6D">
            <w:pPr>
              <w:spacing w:after="100" w:afterAutospacing="1"/>
              <w:ind w:left="567" w:right="-457"/>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 Екологічна освіта, пропаганда охорони навколишнього середовища</w:t>
            </w:r>
          </w:p>
        </w:tc>
      </w:tr>
      <w:tr w:rsidR="009104C5" w:rsidRPr="002C35DA" w:rsidTr="00341D6D">
        <w:trPr>
          <w:trHeight w:val="649"/>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1.1</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Розробка, уточнення програми екологічної освіти в школах та дошкільних закладах Громади</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2024 - 2026</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Управління освіти, молоді та спорту, Заклади освіти, Солотвинської селищної ради</w:t>
            </w:r>
          </w:p>
        </w:tc>
      </w:tr>
      <w:tr w:rsidR="009104C5" w:rsidRPr="002C35DA" w:rsidTr="00341D6D">
        <w:trPr>
          <w:trHeight w:val="944"/>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1.2</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Встановити на території об'єкта природно-заповідного фонду, а саме - ботанічна пам'ятка природи "</w:t>
            </w:r>
            <w:proofErr w:type="spellStart"/>
            <w:r w:rsidRPr="002C35DA">
              <w:rPr>
                <w:rFonts w:ascii="Times New Roman" w:eastAsia="Times New Roman" w:hAnsi="Times New Roman" w:cs="Times New Roman"/>
                <w:color w:val="000000"/>
                <w:sz w:val="28"/>
                <w:szCs w:val="28"/>
                <w:lang w:eastAsia="uk-UA"/>
              </w:rPr>
              <w:t>Солотвинські</w:t>
            </w:r>
            <w:proofErr w:type="spellEnd"/>
            <w:r w:rsidRPr="002C35DA">
              <w:rPr>
                <w:rFonts w:ascii="Times New Roman" w:eastAsia="Times New Roman" w:hAnsi="Times New Roman" w:cs="Times New Roman"/>
                <w:color w:val="000000"/>
                <w:sz w:val="28"/>
                <w:szCs w:val="28"/>
                <w:lang w:eastAsia="uk-UA"/>
              </w:rPr>
              <w:t xml:space="preserve"> дуби", інформаційні та охоронні знаки єдиного державного взірця</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 рік</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Виконавчий комітет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tc>
      </w:tr>
      <w:tr w:rsidR="009104C5" w:rsidRPr="002C35DA" w:rsidTr="00341D6D">
        <w:trPr>
          <w:trHeight w:val="148"/>
        </w:trPr>
        <w:tc>
          <w:tcPr>
            <w:tcW w:w="14480" w:type="dxa"/>
            <w:gridSpan w:val="8"/>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 Охорона і раціональне використання водних ресурсів</w:t>
            </w:r>
          </w:p>
        </w:tc>
      </w:tr>
      <w:tr w:rsidR="009104C5" w:rsidRPr="002C35DA" w:rsidTr="00341D6D">
        <w:trPr>
          <w:trHeight w:val="795"/>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2.1</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Розробка проекту землеустрою щодо встановлення та винесення на місцевості меж прибережних захисних смуг </w:t>
            </w:r>
            <w:r w:rsidRPr="002C35DA">
              <w:rPr>
                <w:rFonts w:ascii="Times New Roman" w:eastAsia="Times New Roman" w:hAnsi="Times New Roman" w:cs="Times New Roman"/>
                <w:color w:val="000000"/>
                <w:sz w:val="28"/>
                <w:szCs w:val="28"/>
                <w:lang w:eastAsia="uk-UA"/>
              </w:rPr>
              <w:lastRenderedPageBreak/>
              <w:t>річок, які протікають через територію селищної ради</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lastRenderedPageBreak/>
              <w:t xml:space="preserve"> </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 наявності фінансування</w:t>
            </w: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Інші джерела </w:t>
            </w:r>
            <w:r w:rsidRPr="002C35DA">
              <w:rPr>
                <w:rFonts w:ascii="Times New Roman" w:eastAsia="Times New Roman" w:hAnsi="Times New Roman" w:cs="Times New Roman"/>
                <w:color w:val="000000"/>
                <w:sz w:val="28"/>
                <w:szCs w:val="28"/>
                <w:lang w:eastAsia="uk-UA"/>
              </w:rPr>
              <w:lastRenderedPageBreak/>
              <w:t>фінансування</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lastRenderedPageBreak/>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r>
      <w:tr w:rsidR="009104C5" w:rsidRPr="002C35DA" w:rsidTr="00341D6D">
        <w:trPr>
          <w:trHeight w:val="666"/>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lastRenderedPageBreak/>
              <w:t>2.2</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Забезпечення здійснення контролю за додержанням природоохоронного законодавства, використанням і охороною природних ресурсів</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Постійно</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p>
        </w:tc>
      </w:tr>
      <w:tr w:rsidR="009104C5" w:rsidRPr="002C35DA" w:rsidTr="00341D6D">
        <w:trPr>
          <w:trHeight w:val="726"/>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2.3</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Проводити обстеження прибережних захисних смуг водних об'єктів на предмет виявлення порушень вимог природоохоронного законодавства</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Постійно</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p>
        </w:tc>
      </w:tr>
      <w:tr w:rsidR="009104C5" w:rsidRPr="002C35DA" w:rsidTr="00341D6D">
        <w:trPr>
          <w:trHeight w:val="739"/>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2.4</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Затвердити місцеві правила приймання стічних вод до системи централізованого водовідведення  селища Солотвин</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 рік</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r w:rsidRPr="002C35DA">
              <w:rPr>
                <w:rFonts w:ascii="Times New Roman" w:eastAsia="Times New Roman" w:hAnsi="Times New Roman" w:cs="Times New Roman"/>
                <w:sz w:val="28"/>
                <w:szCs w:val="28"/>
                <w:lang w:eastAsia="uk-UA"/>
              </w:rPr>
              <w:t xml:space="preserve">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609"/>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2.5</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Затвердити місцеві правила приймання поверхневих стічних вод до системи водовідведення поверхневих стічних вод селища Солотвин</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2024 рік</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r w:rsidRPr="002C35DA">
              <w:rPr>
                <w:rFonts w:ascii="Times New Roman" w:eastAsia="Times New Roman" w:hAnsi="Times New Roman" w:cs="Times New Roman"/>
                <w:sz w:val="28"/>
                <w:szCs w:val="28"/>
                <w:lang w:eastAsia="uk-UA"/>
              </w:rPr>
              <w:t xml:space="preserve">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886"/>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lastRenderedPageBreak/>
              <w:t>2.6</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Здійснити берег</w:t>
            </w:r>
            <w:r w:rsidRPr="002C35DA">
              <w:rPr>
                <w:rFonts w:ascii="Times New Roman" w:eastAsia="Times New Roman" w:hAnsi="Times New Roman" w:cs="Times New Roman"/>
                <w:sz w:val="28"/>
                <w:szCs w:val="28"/>
                <w:lang w:eastAsia="uk-UA"/>
              </w:rPr>
              <w:t xml:space="preserve">оукріплювальні </w:t>
            </w:r>
            <w:r w:rsidRPr="002C35DA">
              <w:rPr>
                <w:rFonts w:ascii="Times New Roman" w:eastAsia="Times New Roman" w:hAnsi="Times New Roman" w:cs="Times New Roman"/>
                <w:color w:val="000000"/>
                <w:sz w:val="28"/>
                <w:szCs w:val="28"/>
                <w:lang w:eastAsia="uk-UA"/>
              </w:rPr>
              <w:t>зах</w:t>
            </w:r>
            <w:r w:rsidRPr="002C35DA">
              <w:rPr>
                <w:rFonts w:ascii="Times New Roman" w:eastAsia="Times New Roman" w:hAnsi="Times New Roman" w:cs="Times New Roman"/>
                <w:sz w:val="28"/>
                <w:szCs w:val="28"/>
                <w:lang w:eastAsia="uk-UA"/>
              </w:rPr>
              <w:t>оди, для зміцнення берегової лінії річок та водойм для запобігання ерозії та забезпечення безпеки берегової території (в тому числі розробити проектно-кошторисну документацію).</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 наявності фінансування</w:t>
            </w: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r w:rsidRPr="002C35DA">
              <w:rPr>
                <w:rFonts w:ascii="Times New Roman" w:eastAsia="Times New Roman" w:hAnsi="Times New Roman" w:cs="Times New Roman"/>
                <w:sz w:val="28"/>
                <w:szCs w:val="28"/>
                <w:lang w:eastAsia="uk-UA"/>
              </w:rPr>
              <w:t xml:space="preserve">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474"/>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2.7</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Організація робіт з  очищення та облаштування джерел та водойм на території громади</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Постійно</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 (</w:t>
            </w:r>
            <w:r w:rsidRPr="002C35DA">
              <w:rPr>
                <w:rFonts w:ascii="Times New Roman" w:eastAsia="Times New Roman" w:hAnsi="Times New Roman" w:cs="Times New Roman"/>
                <w:sz w:val="28"/>
                <w:szCs w:val="28"/>
                <w:lang w:eastAsia="ru-RU"/>
              </w:rPr>
              <w:t>обласний та державний бюджет)</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Відділ комунальної власності, містобудування та архітектури, житлово-комунального господарства</w:t>
            </w:r>
            <w:r w:rsidRPr="002C35DA">
              <w:rPr>
                <w:rFonts w:ascii="Times New Roman" w:eastAsia="Times New Roman" w:hAnsi="Times New Roman" w:cs="Times New Roman"/>
                <w:sz w:val="28"/>
                <w:szCs w:val="28"/>
                <w:lang w:eastAsia="uk-UA"/>
              </w:rPr>
              <w:t xml:space="preserve">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148"/>
        </w:trPr>
        <w:tc>
          <w:tcPr>
            <w:tcW w:w="14480" w:type="dxa"/>
            <w:gridSpan w:val="8"/>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3. Охорона і раціональне використання природних рослинних ресурсів</w:t>
            </w:r>
          </w:p>
        </w:tc>
      </w:tr>
      <w:tr w:rsidR="009104C5" w:rsidRPr="002C35DA" w:rsidTr="00341D6D">
        <w:trPr>
          <w:trHeight w:val="700"/>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3.1</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Р</w:t>
            </w:r>
            <w:r w:rsidRPr="002C35DA">
              <w:rPr>
                <w:rFonts w:ascii="Times New Roman" w:eastAsia="Times New Roman" w:hAnsi="Times New Roman" w:cs="Times New Roman"/>
                <w:sz w:val="28"/>
                <w:szCs w:val="28"/>
                <w:lang w:eastAsia="uk-UA"/>
              </w:rPr>
              <w:t>озробити землевпорядну документацію для винесення меж територій та об’єктів природно-заповідного фонду в межах громади</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 наявн</w:t>
            </w:r>
            <w:r w:rsidRPr="002C35DA">
              <w:rPr>
                <w:rFonts w:ascii="Times New Roman" w:eastAsia="Times New Roman" w:hAnsi="Times New Roman" w:cs="Times New Roman"/>
                <w:sz w:val="28"/>
                <w:szCs w:val="28"/>
                <w:lang w:eastAsia="uk-UA"/>
              </w:rPr>
              <w:t>ості фінансування</w:t>
            </w: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r>
      <w:tr w:rsidR="009104C5" w:rsidRPr="002C35DA" w:rsidTr="00341D6D">
        <w:trPr>
          <w:trHeight w:val="295"/>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3.2</w:t>
            </w:r>
          </w:p>
        </w:tc>
        <w:tc>
          <w:tcPr>
            <w:tcW w:w="4221"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Ліквідація наслідків буреломів, вітровалів, сніг</w:t>
            </w:r>
            <w:r w:rsidRPr="002C35DA">
              <w:rPr>
                <w:rFonts w:ascii="Times New Roman" w:eastAsia="Times New Roman" w:hAnsi="Times New Roman" w:cs="Times New Roman"/>
                <w:sz w:val="28"/>
                <w:szCs w:val="28"/>
                <w:lang w:eastAsia="uk-UA"/>
              </w:rPr>
              <w:t>опадів та паводків</w:t>
            </w:r>
          </w:p>
        </w:tc>
        <w:tc>
          <w:tcPr>
            <w:tcW w:w="1746" w:type="dxa"/>
            <w:gridSpan w:val="2"/>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 необхідністю</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Інші </w:t>
            </w:r>
            <w:r w:rsidRPr="002C35DA">
              <w:rPr>
                <w:rFonts w:ascii="Times New Roman" w:eastAsia="Times New Roman" w:hAnsi="Times New Roman" w:cs="Times New Roman"/>
                <w:color w:val="000000"/>
                <w:sz w:val="28"/>
                <w:szCs w:val="28"/>
                <w:lang w:eastAsia="uk-UA"/>
              </w:rPr>
              <w:lastRenderedPageBreak/>
              <w:t>джерела фінансування</w:t>
            </w:r>
          </w:p>
        </w:tc>
        <w:tc>
          <w:tcPr>
            <w:tcW w:w="4300"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lastRenderedPageBreak/>
              <w:t xml:space="preserve">Відділ комунальної власності, містобудування та архітектури, житлово-комунального </w:t>
            </w:r>
            <w:r w:rsidRPr="002C35DA">
              <w:rPr>
                <w:rFonts w:ascii="Times New Roman" w:eastAsia="Times New Roman" w:hAnsi="Times New Roman" w:cs="Times New Roman"/>
                <w:color w:val="000000"/>
                <w:sz w:val="28"/>
                <w:szCs w:val="28"/>
                <w:lang w:eastAsia="uk-UA"/>
              </w:rPr>
              <w:lastRenderedPageBreak/>
              <w:t>господарства</w:t>
            </w:r>
            <w:r w:rsidRPr="002C35DA">
              <w:rPr>
                <w:rFonts w:ascii="Times New Roman" w:eastAsia="Times New Roman" w:hAnsi="Times New Roman" w:cs="Times New Roman"/>
                <w:sz w:val="28"/>
                <w:szCs w:val="28"/>
                <w:lang w:eastAsia="uk-UA"/>
              </w:rPr>
              <w:t xml:space="preserve">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295"/>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lastRenderedPageBreak/>
              <w:t>3.3</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Проводити</w:t>
            </w:r>
            <w:r w:rsidRPr="002C35DA">
              <w:rPr>
                <w:rFonts w:ascii="Times New Roman" w:eastAsia="Times New Roman" w:hAnsi="Times New Roman" w:cs="Times New Roman"/>
                <w:sz w:val="28"/>
                <w:szCs w:val="28"/>
                <w:lang w:eastAsia="uk-UA"/>
              </w:rPr>
              <w:t xml:space="preserve"> заходи з контролю та видалення бур’янів та борщівника </w:t>
            </w:r>
            <w:proofErr w:type="spellStart"/>
            <w:r w:rsidRPr="002C35DA">
              <w:rPr>
                <w:rFonts w:ascii="Times New Roman" w:eastAsia="Times New Roman" w:hAnsi="Times New Roman" w:cs="Times New Roman"/>
                <w:color w:val="000000"/>
                <w:sz w:val="28"/>
                <w:szCs w:val="28"/>
                <w:lang w:eastAsia="uk-UA"/>
              </w:rPr>
              <w:t>С</w:t>
            </w:r>
            <w:r w:rsidRPr="002C35DA">
              <w:rPr>
                <w:rFonts w:ascii="Times New Roman" w:eastAsia="Times New Roman" w:hAnsi="Times New Roman" w:cs="Times New Roman"/>
                <w:sz w:val="28"/>
                <w:szCs w:val="28"/>
                <w:lang w:eastAsia="uk-UA"/>
              </w:rPr>
              <w:t>основського</w:t>
            </w:r>
            <w:proofErr w:type="spellEnd"/>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Постійно</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295"/>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3.4</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sz w:val="28"/>
                <w:szCs w:val="28"/>
                <w:lang w:eastAsia="uk-UA"/>
              </w:rPr>
              <w:t>Організувати заходи з озеленення території громади</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Постійно</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148"/>
        </w:trPr>
        <w:tc>
          <w:tcPr>
            <w:tcW w:w="14480" w:type="dxa"/>
            <w:gridSpan w:val="8"/>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 Охорона тваринного світу</w:t>
            </w:r>
          </w:p>
        </w:tc>
      </w:tr>
      <w:tr w:rsidR="009104C5" w:rsidRPr="002C35DA" w:rsidTr="00341D6D">
        <w:trPr>
          <w:trHeight w:val="540"/>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4.1</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Розробка та впровадження стандартів та правил щодо управління та захоронення тваринних трупів.</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 рік</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r>
      <w:tr w:rsidR="009104C5" w:rsidRPr="002C35DA" w:rsidTr="00341D6D">
        <w:trPr>
          <w:trHeight w:val="865"/>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4.2</w:t>
            </w:r>
          </w:p>
        </w:tc>
        <w:tc>
          <w:tcPr>
            <w:tcW w:w="4221" w:type="dxa"/>
            <w:gridSpan w:val="2"/>
            <w:vAlign w:val="center"/>
          </w:tcPr>
          <w:p w:rsidR="009104C5" w:rsidRPr="002C35DA" w:rsidRDefault="009104C5" w:rsidP="00341D6D">
            <w:pPr>
              <w:spacing w:before="120" w:after="120"/>
              <w:ind w:left="567" w:right="-457"/>
              <w:jc w:val="both"/>
              <w:rPr>
                <w:rFonts w:ascii="Times New Roman" w:eastAsia="Calibri" w:hAnsi="Times New Roman" w:cs="Times New Roman"/>
                <w:sz w:val="28"/>
                <w:szCs w:val="28"/>
              </w:rPr>
            </w:pPr>
            <w:r w:rsidRPr="002C35DA">
              <w:rPr>
                <w:rFonts w:ascii="Times New Roman" w:eastAsia="Calibri" w:hAnsi="Times New Roman" w:cs="Times New Roman"/>
                <w:sz w:val="28"/>
                <w:szCs w:val="28"/>
              </w:rPr>
              <w:t>Проводити роз’яснювальну роботу серед населення громади щодо недопущення полювання на тварин, які занесені у Червону книгу України</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Періодично</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 xml:space="preserve">Старости </w:t>
            </w:r>
            <w:proofErr w:type="spellStart"/>
            <w:r w:rsidRPr="002C35DA">
              <w:rPr>
                <w:rFonts w:ascii="Times New Roman" w:eastAsia="Times New Roman" w:hAnsi="Times New Roman" w:cs="Times New Roman"/>
                <w:sz w:val="28"/>
                <w:szCs w:val="28"/>
                <w:lang w:eastAsia="uk-UA"/>
              </w:rPr>
              <w:t>стар</w:t>
            </w:r>
            <w:r w:rsidRPr="002C35DA">
              <w:rPr>
                <w:rFonts w:ascii="Times New Roman" w:eastAsia="Times New Roman" w:hAnsi="Times New Roman" w:cs="Times New Roman"/>
                <w:color w:val="000000"/>
                <w:sz w:val="28"/>
                <w:szCs w:val="28"/>
                <w:lang w:eastAsia="uk-UA"/>
              </w:rPr>
              <w:t>остинських</w:t>
            </w:r>
            <w:proofErr w:type="spellEnd"/>
            <w:r w:rsidRPr="002C35DA">
              <w:rPr>
                <w:rFonts w:ascii="Times New Roman" w:eastAsia="Times New Roman" w:hAnsi="Times New Roman" w:cs="Times New Roman"/>
                <w:color w:val="000000"/>
                <w:sz w:val="28"/>
                <w:szCs w:val="28"/>
                <w:lang w:eastAsia="uk-UA"/>
              </w:rPr>
              <w:t xml:space="preserve"> округів </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r>
      <w:tr w:rsidR="009104C5" w:rsidRPr="002C35DA" w:rsidTr="00341D6D">
        <w:trPr>
          <w:trHeight w:val="464"/>
        </w:trPr>
        <w:tc>
          <w:tcPr>
            <w:tcW w:w="585"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lastRenderedPageBreak/>
              <w:t>4.3</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Оприлюднення на офіційному сайті селищної ради матеріали щодо охорони тваринного світу</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Періодично</w:t>
            </w:r>
          </w:p>
        </w:tc>
        <w:tc>
          <w:tcPr>
            <w:tcW w:w="1747" w:type="dxa"/>
            <w:hideMark/>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ек</w:t>
            </w:r>
            <w:r w:rsidRPr="002C35DA">
              <w:rPr>
                <w:rFonts w:ascii="Times New Roman" w:eastAsia="Times New Roman" w:hAnsi="Times New Roman" w:cs="Times New Roman"/>
                <w:sz w:val="28"/>
                <w:szCs w:val="28"/>
                <w:lang w:eastAsia="uk-UA"/>
              </w:rPr>
              <w:t>ономіки та соціально-економічного планування</w:t>
            </w:r>
          </w:p>
        </w:tc>
      </w:tr>
      <w:tr w:rsidR="009104C5" w:rsidRPr="002C35DA" w:rsidTr="00341D6D">
        <w:trPr>
          <w:trHeight w:val="464"/>
        </w:trPr>
        <w:tc>
          <w:tcPr>
            <w:tcW w:w="585" w:type="dxa"/>
          </w:tcPr>
          <w:p w:rsidR="009104C5" w:rsidRPr="002C35DA" w:rsidRDefault="009104C5" w:rsidP="00341D6D">
            <w:pPr>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4.4</w:t>
            </w:r>
          </w:p>
        </w:tc>
        <w:tc>
          <w:tcPr>
            <w:tcW w:w="4221" w:type="dxa"/>
            <w:gridSpan w:val="2"/>
          </w:tcPr>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Вживати заходи щодо недопущення вилову риби у нерестовий період</w:t>
            </w:r>
          </w:p>
        </w:tc>
        <w:tc>
          <w:tcPr>
            <w:tcW w:w="1746" w:type="dxa"/>
            <w:gridSpan w:val="2"/>
          </w:tcPr>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Періодично</w:t>
            </w:r>
          </w:p>
        </w:tc>
        <w:tc>
          <w:tcPr>
            <w:tcW w:w="1747" w:type="dxa"/>
          </w:tcPr>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Відділ земельних ресурсів та екології</w:t>
            </w:r>
          </w:p>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 xml:space="preserve">Старости </w:t>
            </w:r>
            <w:proofErr w:type="spellStart"/>
            <w:r w:rsidRPr="002C35DA">
              <w:rPr>
                <w:rFonts w:ascii="Times New Roman" w:eastAsia="Times New Roman" w:hAnsi="Times New Roman" w:cs="Times New Roman"/>
                <w:sz w:val="28"/>
                <w:szCs w:val="28"/>
                <w:lang w:eastAsia="uk-UA"/>
              </w:rPr>
              <w:t>стар</w:t>
            </w:r>
            <w:r w:rsidRPr="002C35DA">
              <w:rPr>
                <w:rFonts w:ascii="Times New Roman" w:eastAsia="Times New Roman" w:hAnsi="Times New Roman" w:cs="Times New Roman"/>
                <w:color w:val="000000"/>
                <w:sz w:val="28"/>
                <w:szCs w:val="28"/>
                <w:lang w:eastAsia="uk-UA"/>
              </w:rPr>
              <w:t>остинських</w:t>
            </w:r>
            <w:proofErr w:type="spellEnd"/>
            <w:r w:rsidRPr="002C35DA">
              <w:rPr>
                <w:rFonts w:ascii="Times New Roman" w:eastAsia="Times New Roman" w:hAnsi="Times New Roman" w:cs="Times New Roman"/>
                <w:color w:val="000000"/>
                <w:sz w:val="28"/>
                <w:szCs w:val="28"/>
                <w:lang w:eastAsia="uk-UA"/>
              </w:rPr>
              <w:t xml:space="preserve"> округів </w:t>
            </w:r>
          </w:p>
          <w:p w:rsidR="009104C5" w:rsidRPr="002C35DA" w:rsidRDefault="009104C5" w:rsidP="00341D6D">
            <w:pPr>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464"/>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4.5</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Профілактика сказу м’ясоїдних тварин</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Періодично</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Надзвичайна Пр</w:t>
            </w:r>
            <w:r w:rsidRPr="002C35DA">
              <w:rPr>
                <w:rFonts w:ascii="Times New Roman" w:eastAsia="Times New Roman" w:hAnsi="Times New Roman" w:cs="Times New Roman"/>
                <w:sz w:val="28"/>
                <w:szCs w:val="28"/>
                <w:lang w:eastAsia="uk-UA"/>
              </w:rPr>
              <w:t>о</w:t>
            </w:r>
            <w:r w:rsidRPr="002C35DA">
              <w:rPr>
                <w:rFonts w:ascii="Times New Roman" w:eastAsia="Times New Roman" w:hAnsi="Times New Roman" w:cs="Times New Roman"/>
                <w:color w:val="000000"/>
                <w:sz w:val="28"/>
                <w:szCs w:val="28"/>
                <w:lang w:eastAsia="uk-UA"/>
              </w:rPr>
              <w:t>тиепіз</w:t>
            </w:r>
            <w:r w:rsidRPr="002C35DA">
              <w:rPr>
                <w:rFonts w:ascii="Times New Roman" w:eastAsia="Times New Roman" w:hAnsi="Times New Roman" w:cs="Times New Roman"/>
                <w:sz w:val="28"/>
                <w:szCs w:val="28"/>
                <w:lang w:eastAsia="uk-UA"/>
              </w:rPr>
              <w:t>оо</w:t>
            </w:r>
            <w:r w:rsidRPr="002C35DA">
              <w:rPr>
                <w:rFonts w:ascii="Times New Roman" w:eastAsia="Times New Roman" w:hAnsi="Times New Roman" w:cs="Times New Roman"/>
                <w:color w:val="000000"/>
                <w:sz w:val="28"/>
                <w:szCs w:val="28"/>
                <w:lang w:eastAsia="uk-UA"/>
              </w:rPr>
              <w:t>тична к</w:t>
            </w:r>
            <w:r w:rsidRPr="002C35DA">
              <w:rPr>
                <w:rFonts w:ascii="Times New Roman" w:eastAsia="Times New Roman" w:hAnsi="Times New Roman" w:cs="Times New Roman"/>
                <w:sz w:val="28"/>
                <w:szCs w:val="28"/>
                <w:lang w:eastAsia="uk-UA"/>
              </w:rPr>
              <w:t>омісія</w:t>
            </w:r>
          </w:p>
        </w:tc>
      </w:tr>
      <w:tr w:rsidR="009104C5" w:rsidRPr="002C35DA" w:rsidTr="00341D6D">
        <w:trPr>
          <w:trHeight w:val="464"/>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4.6</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Стерилізація бродячих собак та котів на території громади</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 Періодично</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464"/>
        </w:trPr>
        <w:tc>
          <w:tcPr>
            <w:tcW w:w="585" w:type="dxa"/>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p>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4.7</w:t>
            </w:r>
          </w:p>
        </w:tc>
        <w:tc>
          <w:tcPr>
            <w:tcW w:w="4221"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Вивчити питання щодо влаштування скотомогильника в </w:t>
            </w:r>
            <w:proofErr w:type="spellStart"/>
            <w:r w:rsidRPr="002C35DA">
              <w:rPr>
                <w:rFonts w:ascii="Times New Roman" w:eastAsia="Times New Roman" w:hAnsi="Times New Roman" w:cs="Times New Roman"/>
                <w:color w:val="000000"/>
                <w:sz w:val="28"/>
                <w:szCs w:val="28"/>
                <w:lang w:eastAsia="uk-UA"/>
              </w:rPr>
              <w:t>Солотвинські</w:t>
            </w:r>
            <w:proofErr w:type="spellEnd"/>
            <w:r w:rsidRPr="002C35DA">
              <w:rPr>
                <w:rFonts w:ascii="Times New Roman" w:eastAsia="Times New Roman" w:hAnsi="Times New Roman" w:cs="Times New Roman"/>
                <w:color w:val="000000"/>
                <w:sz w:val="28"/>
                <w:szCs w:val="28"/>
                <w:lang w:eastAsia="uk-UA"/>
              </w:rPr>
              <w:t xml:space="preserve"> селищні ТГ</w:t>
            </w:r>
          </w:p>
        </w:tc>
        <w:tc>
          <w:tcPr>
            <w:tcW w:w="1746"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 рік</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before="100" w:beforeAutospacing="1"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 xml:space="preserve">Інші джерела </w:t>
            </w:r>
            <w:r w:rsidRPr="002C35DA">
              <w:rPr>
                <w:rFonts w:ascii="Times New Roman" w:eastAsia="Times New Roman" w:hAnsi="Times New Roman" w:cs="Times New Roman"/>
                <w:color w:val="000000"/>
                <w:sz w:val="28"/>
                <w:szCs w:val="28"/>
                <w:lang w:eastAsia="uk-UA"/>
              </w:rPr>
              <w:lastRenderedPageBreak/>
              <w:t>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lastRenderedPageBreak/>
              <w:t>Відділ земельних ресурсів та екології</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r w:rsidR="009104C5" w:rsidRPr="002C35DA" w:rsidTr="00341D6D">
        <w:trPr>
          <w:trHeight w:val="188"/>
        </w:trPr>
        <w:tc>
          <w:tcPr>
            <w:tcW w:w="14480" w:type="dxa"/>
            <w:gridSpan w:val="8"/>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lastRenderedPageBreak/>
              <w:t>5. Пр</w:t>
            </w:r>
            <w:r w:rsidRPr="002C35DA">
              <w:rPr>
                <w:rFonts w:ascii="Times New Roman" w:eastAsia="Times New Roman" w:hAnsi="Times New Roman" w:cs="Times New Roman"/>
                <w:b/>
                <w:bCs/>
                <w:sz w:val="28"/>
                <w:szCs w:val="28"/>
                <w:lang w:eastAsia="uk-UA"/>
              </w:rPr>
              <w:t>оведення заходів для покращення екологічного стану довкілля у сфері твердих побутових відходів</w:t>
            </w:r>
          </w:p>
        </w:tc>
      </w:tr>
      <w:tr w:rsidR="009104C5" w:rsidRPr="002C35DA" w:rsidTr="00341D6D">
        <w:trPr>
          <w:trHeight w:val="188"/>
        </w:trPr>
        <w:tc>
          <w:tcPr>
            <w:tcW w:w="640"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5.1</w:t>
            </w:r>
          </w:p>
        </w:tc>
        <w:tc>
          <w:tcPr>
            <w:tcW w:w="4187"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Виг</w:t>
            </w:r>
            <w:r w:rsidRPr="002C35DA">
              <w:rPr>
                <w:rFonts w:ascii="Times New Roman" w:eastAsia="Times New Roman" w:hAnsi="Times New Roman" w:cs="Times New Roman"/>
                <w:sz w:val="28"/>
                <w:szCs w:val="28"/>
                <w:lang w:eastAsia="uk-UA"/>
              </w:rPr>
              <w:t xml:space="preserve">отовлення містобудівної та землевпорядної документації для облаштування контейнерних майданчиків </w:t>
            </w:r>
          </w:p>
        </w:tc>
        <w:tc>
          <w:tcPr>
            <w:tcW w:w="1725"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2026-2030</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Вик</w:t>
            </w:r>
            <w:r w:rsidRPr="002C35DA">
              <w:rPr>
                <w:rFonts w:ascii="Times New Roman" w:eastAsia="Times New Roman" w:hAnsi="Times New Roman" w:cs="Times New Roman"/>
                <w:sz w:val="28"/>
                <w:szCs w:val="28"/>
                <w:lang w:eastAsia="uk-UA"/>
              </w:rPr>
              <w:t>онавчий комітет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Структурні підрозділи</w:t>
            </w:r>
          </w:p>
        </w:tc>
      </w:tr>
      <w:tr w:rsidR="009104C5" w:rsidRPr="002C35DA" w:rsidTr="00341D6D">
        <w:trPr>
          <w:trHeight w:val="188"/>
        </w:trPr>
        <w:tc>
          <w:tcPr>
            <w:tcW w:w="640"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5.2</w:t>
            </w:r>
          </w:p>
        </w:tc>
        <w:tc>
          <w:tcPr>
            <w:tcW w:w="4187"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Визначення та відведення майданчиків к</w:t>
            </w:r>
            <w:r w:rsidRPr="002C35DA">
              <w:rPr>
                <w:rFonts w:ascii="Times New Roman" w:eastAsia="Times New Roman" w:hAnsi="Times New Roman" w:cs="Times New Roman"/>
                <w:sz w:val="28"/>
                <w:szCs w:val="28"/>
                <w:lang w:eastAsia="uk-UA"/>
              </w:rPr>
              <w:t>омпостування</w:t>
            </w:r>
            <w:r w:rsidRPr="002C35DA">
              <w:rPr>
                <w:rFonts w:ascii="Times New Roman" w:eastAsia="Times New Roman" w:hAnsi="Times New Roman" w:cs="Times New Roman"/>
                <w:color w:val="000000"/>
                <w:sz w:val="28"/>
                <w:szCs w:val="28"/>
                <w:lang w:eastAsia="uk-UA"/>
              </w:rPr>
              <w:t xml:space="preserve"> для складування листя та сух</w:t>
            </w:r>
            <w:r w:rsidRPr="002C35DA">
              <w:rPr>
                <w:rFonts w:ascii="Times New Roman" w:eastAsia="Times New Roman" w:hAnsi="Times New Roman" w:cs="Times New Roman"/>
                <w:sz w:val="28"/>
                <w:szCs w:val="28"/>
                <w:lang w:eastAsia="uk-UA"/>
              </w:rPr>
              <w:t>ої трави</w:t>
            </w:r>
          </w:p>
        </w:tc>
        <w:tc>
          <w:tcPr>
            <w:tcW w:w="1725"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2024-2030</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sz w:val="28"/>
                <w:szCs w:val="28"/>
                <w:lang w:eastAsia="uk-UA"/>
              </w:rPr>
            </w:pPr>
            <w:r w:rsidRPr="002C35DA">
              <w:rPr>
                <w:rFonts w:ascii="Times New Roman" w:eastAsia="Times New Roman" w:hAnsi="Times New Roman" w:cs="Times New Roman"/>
                <w:color w:val="000000"/>
                <w:sz w:val="28"/>
                <w:szCs w:val="28"/>
                <w:lang w:eastAsia="uk-UA"/>
              </w:rPr>
              <w:t>Вик</w:t>
            </w:r>
            <w:r w:rsidRPr="002C35DA">
              <w:rPr>
                <w:rFonts w:ascii="Times New Roman" w:eastAsia="Times New Roman" w:hAnsi="Times New Roman" w:cs="Times New Roman"/>
                <w:sz w:val="28"/>
                <w:szCs w:val="28"/>
                <w:lang w:eastAsia="uk-UA"/>
              </w:rPr>
              <w:t>онавчий комітет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Структурні підрозділи</w:t>
            </w:r>
          </w:p>
        </w:tc>
      </w:tr>
      <w:tr w:rsidR="009104C5" w:rsidRPr="002C35DA" w:rsidTr="00341D6D">
        <w:trPr>
          <w:trHeight w:val="188"/>
        </w:trPr>
        <w:tc>
          <w:tcPr>
            <w:tcW w:w="640"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5.3</w:t>
            </w:r>
          </w:p>
        </w:tc>
        <w:tc>
          <w:tcPr>
            <w:tcW w:w="4187" w:type="dxa"/>
            <w:gridSpan w:val="2"/>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Закупівля к</w:t>
            </w:r>
            <w:r w:rsidRPr="002C35DA">
              <w:rPr>
                <w:rFonts w:ascii="Times New Roman" w:eastAsia="Times New Roman" w:hAnsi="Times New Roman" w:cs="Times New Roman"/>
                <w:sz w:val="28"/>
                <w:szCs w:val="28"/>
                <w:lang w:eastAsia="uk-UA"/>
              </w:rPr>
              <w:t>онтейнерів для збору побутових відходів</w:t>
            </w:r>
          </w:p>
        </w:tc>
        <w:tc>
          <w:tcPr>
            <w:tcW w:w="1725"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2026-2030</w:t>
            </w:r>
          </w:p>
        </w:tc>
        <w:tc>
          <w:tcPr>
            <w:tcW w:w="1747"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p>
        </w:tc>
        <w:tc>
          <w:tcPr>
            <w:tcW w:w="1882"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Місцевий бюджет</w:t>
            </w:r>
          </w:p>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color w:val="000000"/>
                <w:sz w:val="28"/>
                <w:szCs w:val="28"/>
                <w:lang w:eastAsia="uk-UA"/>
              </w:rPr>
              <w:t>Інші джерела фінансування</w:t>
            </w:r>
          </w:p>
        </w:tc>
        <w:tc>
          <w:tcPr>
            <w:tcW w:w="4300" w:type="dxa"/>
          </w:tcPr>
          <w:p w:rsidR="009104C5" w:rsidRPr="002C35DA" w:rsidRDefault="009104C5" w:rsidP="00341D6D">
            <w:pPr>
              <w:spacing w:after="100" w:afterAutospacing="1"/>
              <w:ind w:left="567" w:right="-457"/>
              <w:jc w:val="both"/>
              <w:rPr>
                <w:rFonts w:ascii="Times New Roman" w:eastAsia="Times New Roman" w:hAnsi="Times New Roman" w:cs="Times New Roman"/>
                <w:color w:val="000000"/>
                <w:sz w:val="28"/>
                <w:szCs w:val="28"/>
                <w:lang w:eastAsia="uk-UA"/>
              </w:rPr>
            </w:pPr>
            <w:r w:rsidRPr="002C35DA">
              <w:rPr>
                <w:rFonts w:ascii="Times New Roman" w:eastAsia="Times New Roman" w:hAnsi="Times New Roman" w:cs="Times New Roman"/>
                <w:sz w:val="28"/>
                <w:szCs w:val="28"/>
                <w:lang w:eastAsia="uk-UA"/>
              </w:rPr>
              <w:t>КП «</w:t>
            </w:r>
            <w:proofErr w:type="spellStart"/>
            <w:r w:rsidRPr="002C35DA">
              <w:rPr>
                <w:rFonts w:ascii="Times New Roman" w:eastAsia="Times New Roman" w:hAnsi="Times New Roman" w:cs="Times New Roman"/>
                <w:sz w:val="28"/>
                <w:szCs w:val="28"/>
                <w:lang w:eastAsia="uk-UA"/>
              </w:rPr>
              <w:t>Солотвинське</w:t>
            </w:r>
            <w:proofErr w:type="spellEnd"/>
            <w:r w:rsidRPr="002C35DA">
              <w:rPr>
                <w:rFonts w:ascii="Times New Roman" w:eastAsia="Times New Roman" w:hAnsi="Times New Roman" w:cs="Times New Roman"/>
                <w:sz w:val="28"/>
                <w:szCs w:val="28"/>
                <w:lang w:eastAsia="uk-UA"/>
              </w:rPr>
              <w:t xml:space="preserve"> ЖКГ»</w:t>
            </w:r>
          </w:p>
        </w:tc>
      </w:tr>
    </w:tbl>
    <w:p w:rsidR="009104C5" w:rsidRPr="002C35DA" w:rsidRDefault="009104C5" w:rsidP="009104C5">
      <w:pPr>
        <w:spacing w:after="100" w:afterAutospacing="1" w:line="240" w:lineRule="auto"/>
        <w:ind w:left="567" w:right="-457"/>
        <w:jc w:val="both"/>
        <w:rPr>
          <w:rFonts w:ascii="Times New Roman" w:eastAsia="Times New Roman" w:hAnsi="Times New Roman" w:cs="Times New Roman"/>
          <w:b/>
          <w:bCs/>
          <w:color w:val="000000"/>
          <w:sz w:val="28"/>
          <w:szCs w:val="28"/>
          <w:lang w:eastAsia="uk-UA"/>
        </w:rPr>
      </w:pPr>
    </w:p>
    <w:p w:rsidR="009104C5" w:rsidRPr="002C35DA" w:rsidRDefault="009104C5" w:rsidP="009104C5">
      <w:pPr>
        <w:spacing w:after="100" w:afterAutospacing="1" w:line="240" w:lineRule="auto"/>
        <w:ind w:left="567" w:right="-457"/>
        <w:jc w:val="both"/>
        <w:rPr>
          <w:rFonts w:ascii="Times New Roman" w:eastAsia="Times New Roman" w:hAnsi="Times New Roman" w:cs="Times New Roman"/>
          <w:b/>
          <w:bCs/>
          <w:color w:val="000000"/>
          <w:sz w:val="28"/>
          <w:szCs w:val="28"/>
          <w:lang w:eastAsia="uk-UA"/>
        </w:rPr>
      </w:pPr>
      <w:r w:rsidRPr="002C35DA">
        <w:rPr>
          <w:rFonts w:ascii="Times New Roman" w:eastAsia="Times New Roman" w:hAnsi="Times New Roman" w:cs="Times New Roman"/>
          <w:b/>
          <w:bCs/>
          <w:color w:val="000000"/>
          <w:sz w:val="28"/>
          <w:szCs w:val="28"/>
          <w:lang w:eastAsia="uk-UA"/>
        </w:rPr>
        <w:t>Секретар селищн</w:t>
      </w:r>
      <w:r w:rsidRPr="002C35DA">
        <w:rPr>
          <w:rFonts w:ascii="Times New Roman" w:eastAsia="Times New Roman" w:hAnsi="Times New Roman" w:cs="Times New Roman"/>
          <w:sz w:val="28"/>
          <w:szCs w:val="28"/>
          <w:lang w:eastAsia="uk-UA"/>
        </w:rPr>
        <w:t>о</w:t>
      </w:r>
      <w:r w:rsidRPr="002C35DA">
        <w:rPr>
          <w:rFonts w:ascii="Times New Roman" w:eastAsia="Times New Roman" w:hAnsi="Times New Roman" w:cs="Times New Roman"/>
          <w:b/>
          <w:bCs/>
          <w:color w:val="000000"/>
          <w:sz w:val="28"/>
          <w:szCs w:val="28"/>
          <w:lang w:eastAsia="uk-UA"/>
        </w:rPr>
        <w:t>ї ради                                                               Василь МАНДЗЮК</w:t>
      </w:r>
    </w:p>
    <w:p w:rsidR="00994F7B" w:rsidRDefault="009104C5"/>
    <w:sectPr w:rsidR="00994F7B" w:rsidSect="009104C5">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355"/>
    <w:multiLevelType w:val="hybridMultilevel"/>
    <w:tmpl w:val="E8E41E66"/>
    <w:lvl w:ilvl="0" w:tplc="D81C2A04">
      <w:start w:val="1"/>
      <w:numFmt w:val="decimal"/>
      <w:lvlText w:val="%1."/>
      <w:lvlJc w:val="left"/>
      <w:pPr>
        <w:ind w:left="1778" w:hanging="360"/>
      </w:pPr>
      <w:rPr>
        <w:rFonts w:hint="default"/>
      </w:rPr>
    </w:lvl>
    <w:lvl w:ilvl="1" w:tplc="E068B80A">
      <w:start w:val="1"/>
      <w:numFmt w:val="bullet"/>
      <w:lvlText w:val=""/>
      <w:lvlJc w:val="left"/>
      <w:pPr>
        <w:ind w:left="2149" w:hanging="360"/>
      </w:pPr>
      <w:rPr>
        <w:rFonts w:ascii="Symbol" w:hAnsi="Symbol"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CD451F5"/>
    <w:multiLevelType w:val="hybridMultilevel"/>
    <w:tmpl w:val="EDE61C9A"/>
    <w:lvl w:ilvl="0" w:tplc="E068B80A">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D203B25"/>
    <w:multiLevelType w:val="hybridMultilevel"/>
    <w:tmpl w:val="7C4CD28E"/>
    <w:lvl w:ilvl="0" w:tplc="E068B80A">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nsid w:val="0E59316A"/>
    <w:multiLevelType w:val="hybridMultilevel"/>
    <w:tmpl w:val="E0B2A8A4"/>
    <w:lvl w:ilvl="0" w:tplc="D81C2A04">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EAA463B"/>
    <w:multiLevelType w:val="hybridMultilevel"/>
    <w:tmpl w:val="5832D62E"/>
    <w:lvl w:ilvl="0" w:tplc="E068B80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CBB5F73"/>
    <w:multiLevelType w:val="hybridMultilevel"/>
    <w:tmpl w:val="EEE8D048"/>
    <w:lvl w:ilvl="0" w:tplc="E068B80A">
      <w:start w:val="1"/>
      <w:numFmt w:val="bullet"/>
      <w:lvlText w:val=""/>
      <w:lvlJc w:val="left"/>
      <w:pPr>
        <w:ind w:left="2869" w:hanging="360"/>
      </w:pPr>
      <w:rPr>
        <w:rFonts w:ascii="Symbol" w:hAnsi="Symbol" w:hint="default"/>
      </w:rPr>
    </w:lvl>
    <w:lvl w:ilvl="1" w:tplc="04220003" w:tentative="1">
      <w:start w:val="1"/>
      <w:numFmt w:val="bullet"/>
      <w:lvlText w:val="o"/>
      <w:lvlJc w:val="left"/>
      <w:pPr>
        <w:ind w:left="3589" w:hanging="360"/>
      </w:pPr>
      <w:rPr>
        <w:rFonts w:ascii="Courier New" w:hAnsi="Courier New" w:cs="Courier New" w:hint="default"/>
      </w:rPr>
    </w:lvl>
    <w:lvl w:ilvl="2" w:tplc="04220005" w:tentative="1">
      <w:start w:val="1"/>
      <w:numFmt w:val="bullet"/>
      <w:lvlText w:val=""/>
      <w:lvlJc w:val="left"/>
      <w:pPr>
        <w:ind w:left="4309" w:hanging="360"/>
      </w:pPr>
      <w:rPr>
        <w:rFonts w:ascii="Wingdings" w:hAnsi="Wingdings" w:hint="default"/>
      </w:rPr>
    </w:lvl>
    <w:lvl w:ilvl="3" w:tplc="04220001" w:tentative="1">
      <w:start w:val="1"/>
      <w:numFmt w:val="bullet"/>
      <w:lvlText w:val=""/>
      <w:lvlJc w:val="left"/>
      <w:pPr>
        <w:ind w:left="5029" w:hanging="360"/>
      </w:pPr>
      <w:rPr>
        <w:rFonts w:ascii="Symbol" w:hAnsi="Symbol" w:hint="default"/>
      </w:rPr>
    </w:lvl>
    <w:lvl w:ilvl="4" w:tplc="04220003" w:tentative="1">
      <w:start w:val="1"/>
      <w:numFmt w:val="bullet"/>
      <w:lvlText w:val="o"/>
      <w:lvlJc w:val="left"/>
      <w:pPr>
        <w:ind w:left="5749" w:hanging="360"/>
      </w:pPr>
      <w:rPr>
        <w:rFonts w:ascii="Courier New" w:hAnsi="Courier New" w:cs="Courier New" w:hint="default"/>
      </w:rPr>
    </w:lvl>
    <w:lvl w:ilvl="5" w:tplc="04220005" w:tentative="1">
      <w:start w:val="1"/>
      <w:numFmt w:val="bullet"/>
      <w:lvlText w:val=""/>
      <w:lvlJc w:val="left"/>
      <w:pPr>
        <w:ind w:left="6469" w:hanging="360"/>
      </w:pPr>
      <w:rPr>
        <w:rFonts w:ascii="Wingdings" w:hAnsi="Wingdings" w:hint="default"/>
      </w:rPr>
    </w:lvl>
    <w:lvl w:ilvl="6" w:tplc="04220001" w:tentative="1">
      <w:start w:val="1"/>
      <w:numFmt w:val="bullet"/>
      <w:lvlText w:val=""/>
      <w:lvlJc w:val="left"/>
      <w:pPr>
        <w:ind w:left="7189" w:hanging="360"/>
      </w:pPr>
      <w:rPr>
        <w:rFonts w:ascii="Symbol" w:hAnsi="Symbol" w:hint="default"/>
      </w:rPr>
    </w:lvl>
    <w:lvl w:ilvl="7" w:tplc="04220003" w:tentative="1">
      <w:start w:val="1"/>
      <w:numFmt w:val="bullet"/>
      <w:lvlText w:val="o"/>
      <w:lvlJc w:val="left"/>
      <w:pPr>
        <w:ind w:left="7909" w:hanging="360"/>
      </w:pPr>
      <w:rPr>
        <w:rFonts w:ascii="Courier New" w:hAnsi="Courier New" w:cs="Courier New" w:hint="default"/>
      </w:rPr>
    </w:lvl>
    <w:lvl w:ilvl="8" w:tplc="04220005" w:tentative="1">
      <w:start w:val="1"/>
      <w:numFmt w:val="bullet"/>
      <w:lvlText w:val=""/>
      <w:lvlJc w:val="left"/>
      <w:pPr>
        <w:ind w:left="8629" w:hanging="360"/>
      </w:pPr>
      <w:rPr>
        <w:rFonts w:ascii="Wingdings" w:hAnsi="Wingdings" w:hint="default"/>
      </w:rPr>
    </w:lvl>
  </w:abstractNum>
  <w:abstractNum w:abstractNumId="6">
    <w:nsid w:val="26FF312C"/>
    <w:multiLevelType w:val="hybridMultilevel"/>
    <w:tmpl w:val="4D3C88B8"/>
    <w:lvl w:ilvl="0" w:tplc="D81C2A04">
      <w:start w:val="1"/>
      <w:numFmt w:val="decimal"/>
      <w:lvlText w:val="%1."/>
      <w:lvlJc w:val="left"/>
      <w:pPr>
        <w:ind w:left="1778" w:hanging="360"/>
      </w:pPr>
      <w:rPr>
        <w:rFonts w:hint="default"/>
      </w:rPr>
    </w:lvl>
    <w:lvl w:ilvl="1" w:tplc="E068B80A">
      <w:start w:val="1"/>
      <w:numFmt w:val="bullet"/>
      <w:lvlText w:val=""/>
      <w:lvlJc w:val="left"/>
      <w:pPr>
        <w:ind w:left="2149" w:hanging="360"/>
      </w:pPr>
      <w:rPr>
        <w:rFonts w:ascii="Symbol" w:hAnsi="Symbol"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2B580EAB"/>
    <w:multiLevelType w:val="hybridMultilevel"/>
    <w:tmpl w:val="B53AF6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C990D13"/>
    <w:multiLevelType w:val="hybridMultilevel"/>
    <w:tmpl w:val="56C663F0"/>
    <w:lvl w:ilvl="0" w:tplc="D81C2A04">
      <w:start w:val="1"/>
      <w:numFmt w:val="decimal"/>
      <w:lvlText w:val="%1."/>
      <w:lvlJc w:val="left"/>
      <w:pPr>
        <w:ind w:left="1778" w:hanging="360"/>
      </w:pPr>
      <w:rPr>
        <w:rFonts w:hint="default"/>
      </w:rPr>
    </w:lvl>
    <w:lvl w:ilvl="1" w:tplc="E068B80A">
      <w:start w:val="1"/>
      <w:numFmt w:val="bullet"/>
      <w:lvlText w:val=""/>
      <w:lvlJc w:val="left"/>
      <w:pPr>
        <w:ind w:left="2149" w:hanging="360"/>
      </w:pPr>
      <w:rPr>
        <w:rFonts w:ascii="Symbol" w:hAnsi="Symbol" w:hint="default"/>
      </w:rPr>
    </w:lvl>
    <w:lvl w:ilvl="2" w:tplc="6ADAAA32">
      <w:numFmt w:val="bullet"/>
      <w:lvlText w:val="•"/>
      <w:lvlJc w:val="left"/>
      <w:pPr>
        <w:ind w:left="3049" w:hanging="360"/>
      </w:pPr>
      <w:rPr>
        <w:rFonts w:ascii="Times New Roman" w:eastAsia="Times New Roman" w:hAnsi="Times New Roman" w:cs="Times New Roman"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3CDF6587"/>
    <w:multiLevelType w:val="hybridMultilevel"/>
    <w:tmpl w:val="21C60118"/>
    <w:lvl w:ilvl="0" w:tplc="0422000F">
      <w:start w:val="1"/>
      <w:numFmt w:val="decimal"/>
      <w:lvlText w:val="%1."/>
      <w:lvlJc w:val="left"/>
      <w:pPr>
        <w:ind w:left="1429" w:hanging="360"/>
      </w:pPr>
    </w:lvl>
    <w:lvl w:ilvl="1" w:tplc="331C45F6">
      <w:numFmt w:val="bullet"/>
      <w:lvlText w:val="-"/>
      <w:lvlJc w:val="left"/>
      <w:pPr>
        <w:ind w:left="2149" w:hanging="360"/>
      </w:pPr>
      <w:rPr>
        <w:rFonts w:ascii="Times New Roman" w:eastAsia="Times New Roman" w:hAnsi="Times New Roman" w:cs="Times New Roman" w:hint="default"/>
      </w:rPr>
    </w:lvl>
    <w:lvl w:ilvl="2" w:tplc="72048B92">
      <w:numFmt w:val="bullet"/>
      <w:lvlText w:val="–"/>
      <w:lvlJc w:val="left"/>
      <w:pPr>
        <w:ind w:left="3049" w:hanging="360"/>
      </w:pPr>
      <w:rPr>
        <w:rFonts w:ascii="Times New Roman" w:eastAsia="Times New Roman" w:hAnsi="Times New Roman" w:cs="Times New Roman"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4C437037"/>
    <w:multiLevelType w:val="hybridMultilevel"/>
    <w:tmpl w:val="79BE0F80"/>
    <w:lvl w:ilvl="0" w:tplc="E068B80A">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579252F0"/>
    <w:multiLevelType w:val="hybridMultilevel"/>
    <w:tmpl w:val="3068840C"/>
    <w:lvl w:ilvl="0" w:tplc="E068B80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FD4211C"/>
    <w:multiLevelType w:val="hybridMultilevel"/>
    <w:tmpl w:val="CE50822C"/>
    <w:lvl w:ilvl="0" w:tplc="D81C2A04">
      <w:start w:val="1"/>
      <w:numFmt w:val="decimal"/>
      <w:lvlText w:val="%1."/>
      <w:lvlJc w:val="left"/>
      <w:pPr>
        <w:ind w:left="1778" w:hanging="360"/>
      </w:pPr>
      <w:rPr>
        <w:rFonts w:hint="default"/>
      </w:rPr>
    </w:lvl>
    <w:lvl w:ilvl="1" w:tplc="E068B80A">
      <w:start w:val="1"/>
      <w:numFmt w:val="bullet"/>
      <w:lvlText w:val=""/>
      <w:lvlJc w:val="left"/>
      <w:pPr>
        <w:ind w:left="2149" w:hanging="360"/>
      </w:pPr>
      <w:rPr>
        <w:rFonts w:ascii="Symbol" w:hAnsi="Symbol" w:hint="default"/>
      </w:rPr>
    </w:lvl>
    <w:lvl w:ilvl="2" w:tplc="E068B80A">
      <w:start w:val="1"/>
      <w:numFmt w:val="bullet"/>
      <w:lvlText w:val=""/>
      <w:lvlJc w:val="left"/>
      <w:pPr>
        <w:ind w:left="3049" w:hanging="360"/>
      </w:pPr>
      <w:rPr>
        <w:rFonts w:ascii="Symbol" w:hAnsi="Symbol" w:hint="default"/>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693C7C7C"/>
    <w:multiLevelType w:val="hybridMultilevel"/>
    <w:tmpl w:val="0128D0AE"/>
    <w:lvl w:ilvl="0" w:tplc="D81C2A04">
      <w:start w:val="1"/>
      <w:numFmt w:val="decimal"/>
      <w:lvlText w:val="%1."/>
      <w:lvlJc w:val="left"/>
      <w:pPr>
        <w:ind w:left="1778" w:hanging="360"/>
      </w:pPr>
      <w:rPr>
        <w:rFonts w:hint="default"/>
      </w:rPr>
    </w:lvl>
    <w:lvl w:ilvl="1" w:tplc="E068B80A">
      <w:start w:val="1"/>
      <w:numFmt w:val="bullet"/>
      <w:lvlText w:val=""/>
      <w:lvlJc w:val="left"/>
      <w:pPr>
        <w:ind w:left="2149" w:hanging="360"/>
      </w:pPr>
      <w:rPr>
        <w:rFonts w:ascii="Symbol" w:hAnsi="Symbol"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nsid w:val="6EED5983"/>
    <w:multiLevelType w:val="hybridMultilevel"/>
    <w:tmpl w:val="6AD28586"/>
    <w:lvl w:ilvl="0" w:tplc="E068B80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71952DED"/>
    <w:multiLevelType w:val="hybridMultilevel"/>
    <w:tmpl w:val="292E3BE4"/>
    <w:lvl w:ilvl="0" w:tplc="E068B80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11"/>
  </w:num>
  <w:num w:numId="3">
    <w:abstractNumId w:val="15"/>
  </w:num>
  <w:num w:numId="4">
    <w:abstractNumId w:val="0"/>
  </w:num>
  <w:num w:numId="5">
    <w:abstractNumId w:val="8"/>
  </w:num>
  <w:num w:numId="6">
    <w:abstractNumId w:val="13"/>
  </w:num>
  <w:num w:numId="7">
    <w:abstractNumId w:val="6"/>
  </w:num>
  <w:num w:numId="8">
    <w:abstractNumId w:val="3"/>
  </w:num>
  <w:num w:numId="9">
    <w:abstractNumId w:val="4"/>
  </w:num>
  <w:num w:numId="10">
    <w:abstractNumId w:val="9"/>
  </w:num>
  <w:num w:numId="11">
    <w:abstractNumId w:val="14"/>
  </w:num>
  <w:num w:numId="12">
    <w:abstractNumId w:val="1"/>
  </w:num>
  <w:num w:numId="13">
    <w:abstractNumId w:val="10"/>
  </w:num>
  <w:num w:numId="14">
    <w:abstractNumId w:val="12"/>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F"/>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104C5"/>
    <w:rsid w:val="009B0183"/>
    <w:rsid w:val="009E442E"/>
    <w:rsid w:val="00A33768"/>
    <w:rsid w:val="00A95CE3"/>
    <w:rsid w:val="00B575BF"/>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0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04C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10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0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04C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9104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33957</Words>
  <Characters>19357</Characters>
  <Application>Microsoft Office Word</Application>
  <DocSecurity>0</DocSecurity>
  <Lines>161</Lines>
  <Paragraphs>106</Paragraphs>
  <ScaleCrop>false</ScaleCrop>
  <Company>diakov.net</Company>
  <LinksUpToDate>false</LinksUpToDate>
  <CharactersWithSpaces>53208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2024-07-30T12:49:00Z</dcterms:created>
  <dcterms:modified xsi:type="dcterms:W3CDTF">2024-07-30T12:50:00Z</dcterms:modified>
</cp:coreProperties>
</file>