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D0F" w:rsidRPr="00791F7A" w:rsidRDefault="00F15D0F" w:rsidP="00F15D0F">
      <w:pPr>
        <w:jc w:val="center"/>
        <w:rPr>
          <w:b/>
          <w:sz w:val="28"/>
          <w:szCs w:val="28"/>
          <w:lang w:val="uk-UA"/>
        </w:rPr>
      </w:pPr>
      <w:r w:rsidRPr="00791F7A">
        <w:rPr>
          <w:b/>
          <w:sz w:val="28"/>
          <w:szCs w:val="28"/>
          <w:lang w:val="uk-UA"/>
        </w:rPr>
        <w:t xml:space="preserve">  </w:t>
      </w:r>
      <w:r w:rsidRPr="00791F7A">
        <w:rPr>
          <w:rFonts w:eastAsiaTheme="minorHAnsi"/>
          <w:noProof/>
          <w:spacing w:val="8"/>
          <w:sz w:val="28"/>
          <w:szCs w:val="28"/>
          <w:lang w:val="uk-UA" w:eastAsia="uk-UA"/>
        </w:rPr>
        <w:drawing>
          <wp:inline distT="0" distB="0" distL="0" distR="0" wp14:anchorId="37D6A882" wp14:editId="410B4696">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791F7A">
        <w:rPr>
          <w:b/>
          <w:sz w:val="28"/>
          <w:szCs w:val="28"/>
          <w:lang w:val="uk-UA"/>
        </w:rPr>
        <w:t xml:space="preserve"> </w:t>
      </w:r>
    </w:p>
    <w:p w:rsidR="00F15D0F" w:rsidRPr="00C96662" w:rsidRDefault="00F15D0F" w:rsidP="00F15D0F">
      <w:pPr>
        <w:autoSpaceDE/>
        <w:autoSpaceDN/>
        <w:jc w:val="center"/>
        <w:rPr>
          <w:b/>
          <w:sz w:val="28"/>
          <w:szCs w:val="28"/>
        </w:rPr>
      </w:pPr>
      <w:r w:rsidRPr="00C96662">
        <w:rPr>
          <w:b/>
          <w:sz w:val="28"/>
          <w:szCs w:val="28"/>
          <w:lang w:val="uk-UA"/>
        </w:rPr>
        <w:t xml:space="preserve">  УКРАЇНА</w:t>
      </w:r>
    </w:p>
    <w:p w:rsidR="00F15D0F" w:rsidRPr="00C96662" w:rsidRDefault="00F15D0F" w:rsidP="00F15D0F">
      <w:pPr>
        <w:autoSpaceDE/>
        <w:autoSpaceDN/>
        <w:jc w:val="center"/>
        <w:rPr>
          <w:b/>
          <w:sz w:val="28"/>
          <w:szCs w:val="28"/>
          <w:lang w:val="uk-UA"/>
        </w:rPr>
      </w:pPr>
      <w:r w:rsidRPr="00C96662">
        <w:rPr>
          <w:b/>
          <w:sz w:val="28"/>
          <w:szCs w:val="28"/>
          <w:lang w:val="uk-UA"/>
        </w:rPr>
        <w:t>СОЛОТВИНСЬКА СЕЛИЩНА РАДА</w:t>
      </w:r>
    </w:p>
    <w:p w:rsidR="00F15D0F" w:rsidRPr="00C96662" w:rsidRDefault="00F15D0F" w:rsidP="00F15D0F">
      <w:pPr>
        <w:autoSpaceDE/>
        <w:autoSpaceDN/>
        <w:jc w:val="center"/>
        <w:rPr>
          <w:b/>
          <w:sz w:val="28"/>
          <w:szCs w:val="28"/>
          <w:lang w:val="uk-UA"/>
        </w:rPr>
      </w:pPr>
      <w:r w:rsidRPr="00C96662">
        <w:rPr>
          <w:b/>
          <w:sz w:val="28"/>
          <w:szCs w:val="28"/>
          <w:lang w:val="uk-UA"/>
        </w:rPr>
        <w:t>ІВАНО-ФРАНКІВСЬКИЙ РАЙОН ІВАНО-ФРАНКІВСЬКА ОБЛАСТЬ</w:t>
      </w:r>
    </w:p>
    <w:p w:rsidR="00F15D0F" w:rsidRPr="00C96662" w:rsidRDefault="00F15D0F" w:rsidP="00F15D0F">
      <w:pPr>
        <w:autoSpaceDE/>
        <w:autoSpaceDN/>
        <w:jc w:val="center"/>
        <w:rPr>
          <w:color w:val="000000"/>
          <w:sz w:val="28"/>
          <w:szCs w:val="28"/>
          <w:lang w:val="uk-UA" w:eastAsia="uk-UA"/>
        </w:rPr>
      </w:pPr>
      <w:r w:rsidRPr="00C96662">
        <w:rPr>
          <w:b/>
          <w:bCs/>
          <w:color w:val="000000"/>
          <w:sz w:val="28"/>
          <w:szCs w:val="28"/>
          <w:lang w:val="uk-UA" w:eastAsia="uk-UA"/>
        </w:rPr>
        <w:t>Восьме демократичне скликання</w:t>
      </w:r>
    </w:p>
    <w:p w:rsidR="00F15D0F" w:rsidRPr="00C96662" w:rsidRDefault="00F15D0F" w:rsidP="00F15D0F">
      <w:pPr>
        <w:autoSpaceDE/>
        <w:autoSpaceDN/>
        <w:jc w:val="center"/>
        <w:rPr>
          <w:b/>
          <w:bCs/>
          <w:color w:val="000000"/>
          <w:sz w:val="28"/>
          <w:szCs w:val="28"/>
          <w:lang w:val="uk-UA" w:eastAsia="uk-UA"/>
        </w:rPr>
      </w:pPr>
      <w:r w:rsidRPr="00C96662">
        <w:rPr>
          <w:b/>
          <w:bCs/>
          <w:color w:val="000000"/>
          <w:sz w:val="28"/>
          <w:szCs w:val="28"/>
          <w:lang w:val="uk-UA" w:eastAsia="uk-UA"/>
        </w:rPr>
        <w:t>Двадцять дев’ята сесія</w:t>
      </w:r>
    </w:p>
    <w:p w:rsidR="00F15D0F" w:rsidRPr="00791F7A" w:rsidRDefault="00F15D0F" w:rsidP="00F15D0F">
      <w:pPr>
        <w:autoSpaceDE/>
        <w:autoSpaceDN/>
        <w:jc w:val="center"/>
        <w:rPr>
          <w:b/>
          <w:bCs/>
          <w:color w:val="000000"/>
          <w:sz w:val="28"/>
          <w:szCs w:val="28"/>
          <w:lang w:val="uk-UA" w:eastAsia="uk-UA"/>
        </w:rPr>
      </w:pPr>
      <w:r w:rsidRPr="00791F7A">
        <w:rPr>
          <w:b/>
          <w:bCs/>
          <w:color w:val="000000"/>
          <w:sz w:val="28"/>
          <w:szCs w:val="28"/>
          <w:lang w:val="uk-UA" w:eastAsia="uk-UA"/>
        </w:rPr>
        <w:t>(Друге пленарне засідання)</w:t>
      </w:r>
    </w:p>
    <w:p w:rsidR="00F15D0F" w:rsidRPr="00C96662" w:rsidRDefault="00F15D0F" w:rsidP="00F15D0F">
      <w:pPr>
        <w:autoSpaceDE/>
        <w:autoSpaceDN/>
        <w:jc w:val="center"/>
        <w:rPr>
          <w:b/>
          <w:bCs/>
          <w:color w:val="000000"/>
          <w:sz w:val="28"/>
          <w:szCs w:val="28"/>
          <w:lang w:val="uk-UA" w:eastAsia="uk-UA"/>
        </w:rPr>
      </w:pPr>
    </w:p>
    <w:p w:rsidR="00F15D0F" w:rsidRPr="00C96662" w:rsidRDefault="00F15D0F" w:rsidP="00F15D0F">
      <w:pPr>
        <w:autoSpaceDE/>
        <w:autoSpaceDN/>
        <w:jc w:val="center"/>
        <w:rPr>
          <w:b/>
          <w:bCs/>
          <w:color w:val="000000"/>
          <w:sz w:val="28"/>
          <w:szCs w:val="28"/>
          <w:lang w:eastAsia="uk-UA"/>
        </w:rPr>
      </w:pPr>
      <w:proofErr w:type="gramStart"/>
      <w:r w:rsidRPr="00C96662">
        <w:rPr>
          <w:b/>
          <w:bCs/>
          <w:color w:val="000000"/>
          <w:sz w:val="28"/>
          <w:szCs w:val="28"/>
          <w:lang w:eastAsia="uk-UA"/>
        </w:rPr>
        <w:t>Р</w:t>
      </w:r>
      <w:proofErr w:type="gramEnd"/>
      <w:r w:rsidRPr="00C96662">
        <w:rPr>
          <w:b/>
          <w:bCs/>
          <w:color w:val="000000"/>
          <w:sz w:val="28"/>
          <w:szCs w:val="28"/>
          <w:lang w:eastAsia="uk-UA"/>
        </w:rPr>
        <w:t>ІШЕННЯ</w:t>
      </w:r>
    </w:p>
    <w:p w:rsidR="00F15D0F" w:rsidRPr="00C96662" w:rsidRDefault="00F15D0F" w:rsidP="00F15D0F">
      <w:pPr>
        <w:autoSpaceDE/>
        <w:autoSpaceDN/>
        <w:jc w:val="center"/>
        <w:rPr>
          <w:b/>
          <w:bCs/>
          <w:color w:val="000000"/>
          <w:sz w:val="28"/>
          <w:szCs w:val="28"/>
          <w:lang w:eastAsia="uk-UA"/>
        </w:rPr>
      </w:pPr>
    </w:p>
    <w:p w:rsidR="00F15D0F" w:rsidRPr="00C96662" w:rsidRDefault="00F15D0F" w:rsidP="00F15D0F">
      <w:pPr>
        <w:autoSpaceDE/>
        <w:autoSpaceDN/>
        <w:rPr>
          <w:b/>
          <w:color w:val="000000"/>
          <w:sz w:val="28"/>
          <w:szCs w:val="28"/>
          <w:lang w:val="uk-UA" w:eastAsia="uk-UA"/>
        </w:rPr>
      </w:pPr>
      <w:r>
        <w:rPr>
          <w:b/>
          <w:color w:val="000000"/>
          <w:sz w:val="28"/>
          <w:szCs w:val="28"/>
          <w:lang w:val="uk-UA" w:eastAsia="uk-UA"/>
        </w:rPr>
        <w:t xml:space="preserve"> 12</w:t>
      </w:r>
      <w:r w:rsidRPr="00C96662">
        <w:rPr>
          <w:b/>
          <w:color w:val="000000"/>
          <w:sz w:val="28"/>
          <w:szCs w:val="28"/>
          <w:lang w:val="uk-UA" w:eastAsia="uk-UA"/>
        </w:rPr>
        <w:t xml:space="preserve"> грудня  2023 року                   смт. Солотвин          </w:t>
      </w:r>
      <w:r>
        <w:rPr>
          <w:b/>
          <w:color w:val="000000"/>
          <w:sz w:val="28"/>
          <w:szCs w:val="28"/>
          <w:lang w:val="uk-UA" w:eastAsia="uk-UA"/>
        </w:rPr>
        <w:t xml:space="preserve">          №1547</w:t>
      </w:r>
      <w:r w:rsidRPr="00C96662">
        <w:rPr>
          <w:b/>
          <w:color w:val="000000"/>
          <w:sz w:val="28"/>
          <w:szCs w:val="28"/>
          <w:lang w:val="uk-UA" w:eastAsia="uk-UA"/>
        </w:rPr>
        <w:t xml:space="preserve">/29/2023 </w:t>
      </w:r>
    </w:p>
    <w:p w:rsidR="00F15D0F" w:rsidRPr="00791F7A" w:rsidRDefault="00F15D0F" w:rsidP="00F15D0F">
      <w:pPr>
        <w:rPr>
          <w:sz w:val="28"/>
          <w:szCs w:val="28"/>
          <w:lang w:val="uk-UA"/>
        </w:rPr>
      </w:pPr>
      <w:r w:rsidRPr="00791F7A">
        <w:rPr>
          <w:b/>
          <w:sz w:val="28"/>
          <w:szCs w:val="28"/>
          <w:lang w:val="uk-UA"/>
        </w:rPr>
        <w:t xml:space="preserve">    </w:t>
      </w:r>
    </w:p>
    <w:p w:rsidR="00F15D0F" w:rsidRPr="00791F7A" w:rsidRDefault="00F15D0F" w:rsidP="00F15D0F">
      <w:pPr>
        <w:pStyle w:val="4"/>
        <w:ind w:firstLine="0"/>
        <w:jc w:val="left"/>
        <w:outlineLvl w:val="3"/>
        <w:rPr>
          <w:rFonts w:ascii="Times New Roman" w:hAnsi="Times New Roman"/>
          <w:b/>
          <w:sz w:val="28"/>
          <w:szCs w:val="28"/>
          <w:lang w:val="uk-UA"/>
        </w:rPr>
      </w:pPr>
      <w:r w:rsidRPr="00791F7A">
        <w:rPr>
          <w:rFonts w:ascii="Times New Roman" w:hAnsi="Times New Roman"/>
          <w:b/>
          <w:sz w:val="28"/>
          <w:szCs w:val="28"/>
          <w:lang w:val="uk-UA"/>
        </w:rPr>
        <w:t xml:space="preserve">Про бюджет Солотвинської </w:t>
      </w:r>
    </w:p>
    <w:p w:rsidR="00F15D0F" w:rsidRPr="00791F7A" w:rsidRDefault="00F15D0F" w:rsidP="00F15D0F">
      <w:pPr>
        <w:pStyle w:val="4"/>
        <w:ind w:firstLine="0"/>
        <w:jc w:val="left"/>
        <w:outlineLvl w:val="3"/>
        <w:rPr>
          <w:rFonts w:ascii="Times New Roman" w:hAnsi="Times New Roman"/>
          <w:b/>
          <w:sz w:val="28"/>
          <w:szCs w:val="28"/>
          <w:lang w:val="uk-UA"/>
        </w:rPr>
      </w:pPr>
      <w:r w:rsidRPr="00791F7A">
        <w:rPr>
          <w:rFonts w:ascii="Times New Roman" w:hAnsi="Times New Roman"/>
          <w:b/>
          <w:sz w:val="28"/>
          <w:szCs w:val="28"/>
          <w:lang w:val="uk-UA"/>
        </w:rPr>
        <w:t xml:space="preserve">селищної територіальної </w:t>
      </w:r>
    </w:p>
    <w:p w:rsidR="00F15D0F" w:rsidRPr="00791F7A" w:rsidRDefault="00F15D0F" w:rsidP="00F15D0F">
      <w:pPr>
        <w:pStyle w:val="4"/>
        <w:ind w:firstLine="0"/>
        <w:jc w:val="left"/>
        <w:outlineLvl w:val="3"/>
        <w:rPr>
          <w:rFonts w:ascii="Times New Roman" w:hAnsi="Times New Roman"/>
          <w:b/>
          <w:sz w:val="28"/>
          <w:szCs w:val="28"/>
          <w:lang w:val="uk-UA"/>
        </w:rPr>
      </w:pPr>
      <w:r w:rsidRPr="00791F7A">
        <w:rPr>
          <w:rFonts w:ascii="Times New Roman" w:hAnsi="Times New Roman"/>
          <w:b/>
          <w:sz w:val="28"/>
          <w:szCs w:val="28"/>
          <w:lang w:val="uk-UA"/>
        </w:rPr>
        <w:t>громади на 2024  рік</w:t>
      </w:r>
    </w:p>
    <w:p w:rsidR="00F15D0F" w:rsidRPr="00791F7A" w:rsidRDefault="00F15D0F" w:rsidP="00F15D0F">
      <w:pPr>
        <w:rPr>
          <w:b/>
          <w:sz w:val="28"/>
          <w:szCs w:val="28"/>
          <w:lang w:val="uk-UA"/>
        </w:rPr>
      </w:pPr>
    </w:p>
    <w:p w:rsidR="00F15D0F" w:rsidRPr="00791F7A" w:rsidRDefault="00F15D0F" w:rsidP="00F15D0F">
      <w:pPr>
        <w:rPr>
          <w:b/>
          <w:sz w:val="28"/>
          <w:szCs w:val="28"/>
          <w:u w:val="single"/>
          <w:lang w:val="uk-UA"/>
        </w:rPr>
      </w:pPr>
      <w:r w:rsidRPr="00791F7A">
        <w:rPr>
          <w:b/>
          <w:sz w:val="28"/>
          <w:szCs w:val="28"/>
          <w:u w:val="single"/>
          <w:lang w:val="uk-UA"/>
        </w:rPr>
        <w:t>(09560000000)</w:t>
      </w:r>
    </w:p>
    <w:p w:rsidR="00F15D0F" w:rsidRPr="00791F7A" w:rsidRDefault="00F15D0F" w:rsidP="00F15D0F">
      <w:pPr>
        <w:rPr>
          <w:b/>
          <w:sz w:val="28"/>
          <w:szCs w:val="28"/>
          <w:lang w:val="uk-UA"/>
        </w:rPr>
      </w:pPr>
      <w:r w:rsidRPr="00791F7A">
        <w:rPr>
          <w:b/>
          <w:sz w:val="28"/>
          <w:szCs w:val="28"/>
          <w:lang w:val="uk-UA"/>
        </w:rPr>
        <w:t>(код бюджету)</w:t>
      </w:r>
    </w:p>
    <w:p w:rsidR="00F15D0F" w:rsidRPr="00791F7A" w:rsidRDefault="00F15D0F" w:rsidP="00F15D0F">
      <w:pPr>
        <w:rPr>
          <w:sz w:val="28"/>
          <w:szCs w:val="28"/>
          <w:lang w:val="uk-UA"/>
        </w:rPr>
      </w:pPr>
    </w:p>
    <w:p w:rsidR="00F15D0F" w:rsidRPr="00791F7A" w:rsidRDefault="00F15D0F" w:rsidP="00F15D0F">
      <w:pPr>
        <w:ind w:right="-144"/>
        <w:rPr>
          <w:sz w:val="28"/>
          <w:szCs w:val="28"/>
          <w:lang w:val="uk-UA"/>
        </w:rPr>
      </w:pPr>
      <w:r w:rsidRPr="00791F7A">
        <w:rPr>
          <w:sz w:val="28"/>
          <w:szCs w:val="28"/>
          <w:lang w:val="uk-UA"/>
        </w:rPr>
        <w:t xml:space="preserve">      Керуючись Бюджетним кодексом України, Законом України «Про місцеве самоврядування в Україні»,  законом «Про Державний бюджет України на 2024рік», рішенням обласної ради «Про обласний бюджет  Івано-Франківської області на 2024 рік», </w:t>
      </w:r>
      <w:r w:rsidRPr="00791F7A">
        <w:rPr>
          <w:rFonts w:eastAsia="Calibri"/>
          <w:color w:val="000000"/>
          <w:sz w:val="28"/>
          <w:szCs w:val="28"/>
          <w:lang w:val="uk-UA" w:eastAsia="en-US"/>
        </w:rPr>
        <w:t xml:space="preserve">Солотвинська </w:t>
      </w:r>
      <w:r w:rsidRPr="00791F7A">
        <w:rPr>
          <w:sz w:val="28"/>
          <w:szCs w:val="28"/>
          <w:lang w:val="uk-UA"/>
        </w:rPr>
        <w:t xml:space="preserve">селищна рада                                                        </w:t>
      </w:r>
    </w:p>
    <w:p w:rsidR="00F15D0F" w:rsidRPr="00791F7A" w:rsidRDefault="00F15D0F" w:rsidP="00F15D0F">
      <w:pPr>
        <w:autoSpaceDE/>
        <w:autoSpaceDN/>
        <w:jc w:val="center"/>
        <w:rPr>
          <w:b/>
          <w:sz w:val="28"/>
          <w:szCs w:val="28"/>
          <w:lang w:val="uk-UA"/>
        </w:rPr>
      </w:pPr>
    </w:p>
    <w:p w:rsidR="00F15D0F" w:rsidRPr="00791F7A" w:rsidRDefault="00F15D0F" w:rsidP="00F15D0F">
      <w:pPr>
        <w:autoSpaceDE/>
        <w:autoSpaceDN/>
        <w:jc w:val="center"/>
        <w:rPr>
          <w:sz w:val="28"/>
          <w:szCs w:val="28"/>
          <w:lang w:val="uk-UA"/>
        </w:rPr>
      </w:pPr>
      <w:r w:rsidRPr="00117222">
        <w:rPr>
          <w:b/>
          <w:sz w:val="28"/>
          <w:szCs w:val="28"/>
          <w:lang w:val="uk-UA"/>
        </w:rPr>
        <w:t>ВИРІШИЛА</w:t>
      </w:r>
      <w:r w:rsidRPr="00117222">
        <w:rPr>
          <w:sz w:val="28"/>
          <w:szCs w:val="28"/>
          <w:lang w:val="uk-UA"/>
        </w:rPr>
        <w:t>:</w:t>
      </w:r>
    </w:p>
    <w:p w:rsidR="00F15D0F" w:rsidRPr="00791F7A" w:rsidRDefault="00F15D0F" w:rsidP="00F15D0F">
      <w:pPr>
        <w:ind w:firstLine="1985"/>
        <w:rPr>
          <w:sz w:val="28"/>
          <w:szCs w:val="28"/>
          <w:lang w:val="uk-UA"/>
        </w:rPr>
      </w:pPr>
    </w:p>
    <w:p w:rsidR="00F15D0F" w:rsidRPr="00791F7A" w:rsidRDefault="00F15D0F" w:rsidP="00F15D0F">
      <w:pPr>
        <w:numPr>
          <w:ilvl w:val="0"/>
          <w:numId w:val="1"/>
        </w:numPr>
        <w:tabs>
          <w:tab w:val="left" w:pos="900"/>
        </w:tabs>
        <w:ind w:left="0" w:firstLine="567"/>
        <w:jc w:val="both"/>
        <w:rPr>
          <w:sz w:val="28"/>
          <w:szCs w:val="28"/>
          <w:lang w:val="uk-UA"/>
        </w:rPr>
      </w:pPr>
      <w:r w:rsidRPr="00791F7A">
        <w:rPr>
          <w:sz w:val="28"/>
          <w:szCs w:val="28"/>
          <w:lang w:val="uk-UA"/>
        </w:rPr>
        <w:t>Визначити на 2024 рік:</w:t>
      </w:r>
    </w:p>
    <w:p w:rsidR="00F15D0F" w:rsidRPr="00791F7A" w:rsidRDefault="00F15D0F" w:rsidP="00F15D0F">
      <w:pPr>
        <w:ind w:firstLine="567"/>
        <w:jc w:val="both"/>
        <w:rPr>
          <w:color w:val="FF6600"/>
          <w:sz w:val="28"/>
          <w:szCs w:val="28"/>
          <w:lang w:val="uk-UA"/>
        </w:rPr>
      </w:pPr>
      <w:r w:rsidRPr="00791F7A">
        <w:rPr>
          <w:b/>
          <w:sz w:val="28"/>
          <w:szCs w:val="28"/>
          <w:lang w:val="uk-UA"/>
        </w:rPr>
        <w:t xml:space="preserve">-  </w:t>
      </w:r>
      <w:r w:rsidRPr="00791F7A">
        <w:rPr>
          <w:b/>
          <w:bCs/>
          <w:sz w:val="28"/>
          <w:szCs w:val="28"/>
          <w:lang w:val="uk-UA"/>
        </w:rPr>
        <w:t>доходи</w:t>
      </w:r>
      <w:r w:rsidRPr="00791F7A">
        <w:rPr>
          <w:sz w:val="28"/>
          <w:szCs w:val="28"/>
          <w:lang w:val="uk-UA"/>
        </w:rPr>
        <w:t xml:space="preserve"> бюджету територіальної громади у сумі 242 418 555</w:t>
      </w:r>
      <w:r w:rsidRPr="00791F7A">
        <w:rPr>
          <w:b/>
          <w:sz w:val="28"/>
          <w:szCs w:val="28"/>
          <w:lang w:val="uk-UA"/>
        </w:rPr>
        <w:t xml:space="preserve">        </w:t>
      </w:r>
      <w:r w:rsidRPr="00791F7A">
        <w:rPr>
          <w:sz w:val="28"/>
          <w:szCs w:val="28"/>
          <w:lang w:val="uk-UA"/>
        </w:rPr>
        <w:t xml:space="preserve">гривні, у тому числі </w:t>
      </w:r>
      <w:r w:rsidRPr="00791F7A">
        <w:rPr>
          <w:bCs/>
          <w:sz w:val="28"/>
          <w:szCs w:val="28"/>
          <w:lang w:val="uk-UA"/>
        </w:rPr>
        <w:t xml:space="preserve">доходи загального фонду селищного бюджету </w:t>
      </w:r>
      <w:r w:rsidRPr="00791F7A">
        <w:rPr>
          <w:sz w:val="28"/>
          <w:szCs w:val="28"/>
          <w:lang w:val="uk-UA"/>
        </w:rPr>
        <w:t>–      240 926 930 гривень та доходи спеціального фонду селищного бюджету –1 </w:t>
      </w:r>
      <w:r w:rsidRPr="00791F7A">
        <w:rPr>
          <w:sz w:val="28"/>
          <w:szCs w:val="28"/>
        </w:rPr>
        <w:t>491</w:t>
      </w:r>
      <w:r w:rsidRPr="00791F7A">
        <w:rPr>
          <w:sz w:val="28"/>
          <w:szCs w:val="28"/>
          <w:lang w:val="uk-UA"/>
        </w:rPr>
        <w:t> 625 гривні згідно з додатком 1 до цього рішення;</w:t>
      </w:r>
    </w:p>
    <w:p w:rsidR="00F15D0F" w:rsidRPr="00791F7A" w:rsidRDefault="00F15D0F" w:rsidP="00F15D0F">
      <w:pPr>
        <w:ind w:firstLine="567"/>
        <w:jc w:val="both"/>
        <w:rPr>
          <w:sz w:val="28"/>
          <w:szCs w:val="28"/>
          <w:lang w:val="uk-UA"/>
        </w:rPr>
      </w:pPr>
      <w:r w:rsidRPr="00791F7A">
        <w:rPr>
          <w:b/>
          <w:bCs/>
          <w:sz w:val="28"/>
          <w:szCs w:val="28"/>
          <w:lang w:val="uk-UA"/>
        </w:rPr>
        <w:t>-  видатки</w:t>
      </w:r>
      <w:r w:rsidRPr="00791F7A">
        <w:rPr>
          <w:sz w:val="28"/>
          <w:szCs w:val="28"/>
          <w:lang w:val="uk-UA"/>
        </w:rPr>
        <w:t xml:space="preserve"> бюджету територіальної громади у сумі 242 418 555      гривень, в тому числі </w:t>
      </w:r>
      <w:r w:rsidRPr="00791F7A">
        <w:rPr>
          <w:bCs/>
          <w:sz w:val="28"/>
          <w:szCs w:val="28"/>
          <w:lang w:val="uk-UA"/>
        </w:rPr>
        <w:t xml:space="preserve">видатки загального фонду селищного бюджету    240 926 930  </w:t>
      </w:r>
      <w:r w:rsidRPr="00791F7A">
        <w:rPr>
          <w:sz w:val="28"/>
          <w:szCs w:val="28"/>
          <w:lang w:val="uk-UA"/>
        </w:rPr>
        <w:t>гривень, видатки спеціального фонду селищного бюджету     1 491 625 гривень;</w:t>
      </w:r>
    </w:p>
    <w:p w:rsidR="00F15D0F" w:rsidRPr="00791F7A" w:rsidRDefault="00F15D0F" w:rsidP="00F15D0F">
      <w:pPr>
        <w:ind w:firstLine="567"/>
        <w:jc w:val="both"/>
        <w:rPr>
          <w:sz w:val="28"/>
          <w:szCs w:val="28"/>
          <w:lang w:val="uk-UA"/>
        </w:rPr>
      </w:pPr>
      <w:bookmarkStart w:id="0" w:name="n8"/>
      <w:bookmarkEnd w:id="0"/>
      <w:r w:rsidRPr="00791F7A">
        <w:rPr>
          <w:bCs/>
          <w:sz w:val="28"/>
          <w:szCs w:val="28"/>
          <w:lang w:val="uk-UA"/>
        </w:rPr>
        <w:t>- </w:t>
      </w:r>
      <w:r w:rsidRPr="00791F7A">
        <w:rPr>
          <w:b/>
          <w:bCs/>
          <w:sz w:val="28"/>
          <w:szCs w:val="28"/>
          <w:lang w:val="uk-UA"/>
        </w:rPr>
        <w:t>оборотний залишок</w:t>
      </w:r>
      <w:r w:rsidRPr="00791F7A">
        <w:rPr>
          <w:sz w:val="28"/>
          <w:szCs w:val="28"/>
          <w:lang w:val="uk-UA"/>
        </w:rPr>
        <w:t xml:space="preserve"> </w:t>
      </w:r>
      <w:r w:rsidRPr="00791F7A">
        <w:rPr>
          <w:b/>
          <w:sz w:val="28"/>
          <w:szCs w:val="28"/>
          <w:lang w:val="uk-UA"/>
        </w:rPr>
        <w:t xml:space="preserve">бюджетних коштів </w:t>
      </w:r>
      <w:r w:rsidRPr="00791F7A">
        <w:rPr>
          <w:sz w:val="28"/>
          <w:szCs w:val="28"/>
          <w:lang w:val="uk-UA"/>
        </w:rPr>
        <w:t xml:space="preserve">бюджету </w:t>
      </w:r>
      <w:r w:rsidRPr="00791F7A">
        <w:rPr>
          <w:bCs/>
          <w:sz w:val="28"/>
          <w:szCs w:val="28"/>
          <w:lang w:val="uk-UA"/>
        </w:rPr>
        <w:t xml:space="preserve">селищної </w:t>
      </w:r>
      <w:r w:rsidRPr="00791F7A">
        <w:rPr>
          <w:sz w:val="28"/>
          <w:szCs w:val="28"/>
          <w:lang w:val="uk-UA"/>
        </w:rPr>
        <w:t>територіальної громади  у розмірі 50 000 гривень, що становить 0,02        відсотки видатків загального фонду селищного бюджету, визначених цим пунктом;</w:t>
      </w:r>
    </w:p>
    <w:p w:rsidR="00F15D0F" w:rsidRPr="00791F7A" w:rsidRDefault="00F15D0F" w:rsidP="00F15D0F">
      <w:pPr>
        <w:ind w:firstLine="567"/>
        <w:jc w:val="both"/>
        <w:rPr>
          <w:bCs/>
          <w:sz w:val="28"/>
          <w:szCs w:val="28"/>
          <w:lang w:val="uk-UA"/>
        </w:rPr>
      </w:pPr>
      <w:r w:rsidRPr="00791F7A">
        <w:rPr>
          <w:sz w:val="28"/>
          <w:szCs w:val="28"/>
          <w:lang w:val="uk-UA"/>
        </w:rPr>
        <w:t xml:space="preserve">- </w:t>
      </w:r>
      <w:r w:rsidRPr="00791F7A">
        <w:rPr>
          <w:b/>
          <w:bCs/>
          <w:sz w:val="28"/>
          <w:szCs w:val="28"/>
          <w:lang w:val="uk-UA"/>
        </w:rPr>
        <w:t>резервний  фонд</w:t>
      </w:r>
      <w:r w:rsidRPr="00791F7A">
        <w:rPr>
          <w:sz w:val="28"/>
          <w:szCs w:val="28"/>
          <w:lang w:val="uk-UA"/>
        </w:rPr>
        <w:t xml:space="preserve"> селищного бюджету у сумі 200 000 гривень, що становить 0,1 відсоток видатків загального фонду селищного бюджету, визначених цим пунктом.</w:t>
      </w:r>
    </w:p>
    <w:p w:rsidR="00F15D0F" w:rsidRPr="00791F7A" w:rsidRDefault="00F15D0F" w:rsidP="00F15D0F">
      <w:pPr>
        <w:ind w:firstLine="567"/>
        <w:jc w:val="both"/>
        <w:rPr>
          <w:bCs/>
          <w:sz w:val="28"/>
          <w:szCs w:val="28"/>
          <w:lang w:val="uk-UA"/>
        </w:rPr>
      </w:pPr>
      <w:bookmarkStart w:id="1" w:name="n9"/>
      <w:bookmarkEnd w:id="1"/>
      <w:r w:rsidRPr="00791F7A">
        <w:rPr>
          <w:bCs/>
          <w:sz w:val="28"/>
          <w:szCs w:val="28"/>
          <w:lang w:val="uk-UA"/>
        </w:rPr>
        <w:t xml:space="preserve">2. Затвердити </w:t>
      </w:r>
      <w:r w:rsidRPr="00791F7A">
        <w:rPr>
          <w:b/>
          <w:bCs/>
          <w:sz w:val="28"/>
          <w:szCs w:val="28"/>
          <w:lang w:val="uk-UA"/>
        </w:rPr>
        <w:t>бюджетні призначення</w:t>
      </w:r>
      <w:r w:rsidRPr="00791F7A">
        <w:rPr>
          <w:bCs/>
          <w:sz w:val="28"/>
          <w:szCs w:val="28"/>
          <w:lang w:val="uk-UA"/>
        </w:rPr>
        <w:t xml:space="preserve"> головним розпорядникам коштів селищного бюджету на 2024 рік у розрізі відповідальних виконавців за бюджетними програмами  згідно з додатком 3 до цього рішення.</w:t>
      </w:r>
    </w:p>
    <w:p w:rsidR="00F15D0F" w:rsidRPr="00791F7A" w:rsidRDefault="00F15D0F" w:rsidP="00F15D0F">
      <w:pPr>
        <w:ind w:firstLine="567"/>
        <w:jc w:val="both"/>
        <w:rPr>
          <w:bCs/>
          <w:sz w:val="28"/>
          <w:szCs w:val="28"/>
          <w:lang w:val="uk-UA"/>
        </w:rPr>
      </w:pPr>
    </w:p>
    <w:p w:rsidR="00F15D0F" w:rsidRPr="00791F7A" w:rsidRDefault="00F15D0F" w:rsidP="00F15D0F">
      <w:pPr>
        <w:ind w:firstLine="283"/>
        <w:rPr>
          <w:sz w:val="28"/>
          <w:szCs w:val="28"/>
          <w:lang w:val="uk-UA"/>
        </w:rPr>
      </w:pPr>
      <w:r w:rsidRPr="00791F7A">
        <w:rPr>
          <w:b/>
          <w:sz w:val="28"/>
          <w:szCs w:val="28"/>
          <w:lang w:val="uk-UA"/>
        </w:rPr>
        <w:lastRenderedPageBreak/>
        <w:t xml:space="preserve">    </w:t>
      </w:r>
      <w:r w:rsidRPr="00791F7A">
        <w:rPr>
          <w:sz w:val="28"/>
          <w:szCs w:val="28"/>
          <w:lang w:val="uk-UA"/>
        </w:rPr>
        <w:t xml:space="preserve">3. Затвердити на 2024 рік </w:t>
      </w:r>
      <w:r w:rsidRPr="00791F7A">
        <w:rPr>
          <w:b/>
          <w:sz w:val="28"/>
          <w:szCs w:val="28"/>
          <w:lang w:val="uk-UA"/>
        </w:rPr>
        <w:t>міжбюджетні трансферти</w:t>
      </w:r>
      <w:r w:rsidRPr="00791F7A">
        <w:rPr>
          <w:sz w:val="28"/>
          <w:szCs w:val="28"/>
          <w:lang w:val="uk-UA"/>
        </w:rPr>
        <w:t xml:space="preserve"> згідно з додатком 5 до цього рішення.</w:t>
      </w:r>
    </w:p>
    <w:p w:rsidR="00F15D0F" w:rsidRPr="00791F7A" w:rsidRDefault="00F15D0F" w:rsidP="00F15D0F">
      <w:pPr>
        <w:jc w:val="both"/>
        <w:rPr>
          <w:sz w:val="28"/>
          <w:szCs w:val="28"/>
          <w:lang w:val="uk-UA"/>
        </w:rPr>
      </w:pPr>
      <w:r w:rsidRPr="00791F7A">
        <w:rPr>
          <w:sz w:val="28"/>
          <w:szCs w:val="28"/>
          <w:lang w:val="uk-UA"/>
        </w:rPr>
        <w:t xml:space="preserve">      Надати право Солотвинській територіальній громаді, в особі начальника фінансового управління (О.</w:t>
      </w:r>
      <w:proofErr w:type="spellStart"/>
      <w:r w:rsidRPr="00791F7A">
        <w:rPr>
          <w:sz w:val="28"/>
          <w:szCs w:val="28"/>
          <w:lang w:val="uk-UA"/>
        </w:rPr>
        <w:t>Медвідь</w:t>
      </w:r>
      <w:proofErr w:type="spellEnd"/>
      <w:r w:rsidRPr="00791F7A">
        <w:rPr>
          <w:sz w:val="28"/>
          <w:szCs w:val="28"/>
          <w:lang w:val="uk-UA"/>
        </w:rPr>
        <w:t xml:space="preserve">) за погодженням з постійною комісією селищної ради з питань планування фінансів, бюджету, інвестицій та міжнародного співробітництва, соціально-економічного розвитку </w:t>
      </w:r>
      <w:r w:rsidRPr="00791F7A">
        <w:rPr>
          <w:sz w:val="28"/>
          <w:szCs w:val="28"/>
          <w:lang w:val="uk-UA" w:eastAsia="uk-UA"/>
        </w:rPr>
        <w:t>(Б.</w:t>
      </w:r>
      <w:proofErr w:type="spellStart"/>
      <w:r w:rsidRPr="00791F7A">
        <w:rPr>
          <w:sz w:val="28"/>
          <w:szCs w:val="28"/>
          <w:lang w:val="uk-UA" w:eastAsia="uk-UA"/>
        </w:rPr>
        <w:t>Білусяк</w:t>
      </w:r>
      <w:proofErr w:type="spellEnd"/>
      <w:r w:rsidRPr="00791F7A">
        <w:rPr>
          <w:sz w:val="28"/>
          <w:szCs w:val="28"/>
          <w:lang w:val="uk-UA" w:eastAsia="uk-UA"/>
        </w:rPr>
        <w:t xml:space="preserve">) </w:t>
      </w:r>
      <w:r w:rsidRPr="00791F7A">
        <w:rPr>
          <w:sz w:val="28"/>
          <w:szCs w:val="28"/>
          <w:lang w:val="uk-UA"/>
        </w:rPr>
        <w:t xml:space="preserve">у міжсесійний період здійснювати внесення змін до доходів та видатків селищного бюджету за рахунок  міжбюджетних трансфертів з державного та інших бюджетів. </w:t>
      </w:r>
    </w:p>
    <w:p w:rsidR="00F15D0F" w:rsidRPr="00791F7A" w:rsidRDefault="00F15D0F" w:rsidP="00F15D0F">
      <w:pPr>
        <w:jc w:val="both"/>
        <w:rPr>
          <w:sz w:val="28"/>
          <w:szCs w:val="28"/>
          <w:lang w:val="uk-UA"/>
        </w:rPr>
      </w:pPr>
      <w:r w:rsidRPr="00791F7A">
        <w:rPr>
          <w:sz w:val="28"/>
          <w:szCs w:val="28"/>
          <w:lang w:val="uk-UA"/>
        </w:rPr>
        <w:t xml:space="preserve">            Уповноважити голову селищної територіальної громади М.</w:t>
      </w:r>
      <w:proofErr w:type="spellStart"/>
      <w:r w:rsidRPr="00791F7A">
        <w:rPr>
          <w:sz w:val="28"/>
          <w:szCs w:val="28"/>
          <w:lang w:val="uk-UA"/>
        </w:rPr>
        <w:t>Піцуряка</w:t>
      </w:r>
      <w:proofErr w:type="spellEnd"/>
      <w:r w:rsidRPr="00791F7A">
        <w:rPr>
          <w:sz w:val="28"/>
          <w:szCs w:val="28"/>
          <w:lang w:val="uk-UA"/>
        </w:rPr>
        <w:t xml:space="preserve"> у випадках, передбачених першим абзацом цього пункту, укладати договори про міжбюджетні трансферти з відповідними місцевими радами.</w:t>
      </w:r>
    </w:p>
    <w:p w:rsidR="00F15D0F" w:rsidRPr="00791F7A" w:rsidRDefault="00F15D0F" w:rsidP="00F15D0F">
      <w:pPr>
        <w:jc w:val="both"/>
        <w:rPr>
          <w:sz w:val="28"/>
          <w:szCs w:val="28"/>
          <w:lang w:val="uk-UA"/>
        </w:rPr>
      </w:pPr>
    </w:p>
    <w:p w:rsidR="00F15D0F" w:rsidRPr="00791F7A" w:rsidRDefault="00F15D0F" w:rsidP="00F15D0F">
      <w:pPr>
        <w:autoSpaceDE/>
        <w:autoSpaceDN/>
        <w:ind w:firstLine="567"/>
        <w:jc w:val="both"/>
        <w:rPr>
          <w:sz w:val="28"/>
          <w:szCs w:val="28"/>
          <w:lang w:val="uk-UA"/>
        </w:rPr>
      </w:pPr>
      <w:r w:rsidRPr="00791F7A">
        <w:rPr>
          <w:bCs/>
          <w:sz w:val="28"/>
          <w:szCs w:val="28"/>
          <w:lang w:val="uk-UA"/>
        </w:rPr>
        <w:t>4.</w:t>
      </w:r>
      <w:r w:rsidRPr="00791F7A">
        <w:rPr>
          <w:b/>
          <w:bCs/>
          <w:sz w:val="28"/>
          <w:szCs w:val="28"/>
          <w:lang w:val="uk-UA"/>
        </w:rPr>
        <w:t> </w:t>
      </w:r>
      <w:r w:rsidRPr="00791F7A">
        <w:rPr>
          <w:sz w:val="28"/>
          <w:szCs w:val="28"/>
          <w:lang w:val="uk-UA"/>
        </w:rPr>
        <w:t xml:space="preserve">Затвердити </w:t>
      </w:r>
      <w:r w:rsidRPr="00791F7A">
        <w:rPr>
          <w:b/>
          <w:bCs/>
          <w:sz w:val="28"/>
          <w:szCs w:val="28"/>
          <w:lang w:val="uk-UA"/>
        </w:rPr>
        <w:t>розподіл витрат бюджету селищної територіальної громади на реалізацію місцевих (регіональних) програм</w:t>
      </w:r>
      <w:r w:rsidRPr="00791F7A">
        <w:rPr>
          <w:sz w:val="28"/>
          <w:szCs w:val="28"/>
          <w:lang w:val="uk-UA"/>
        </w:rPr>
        <w:t xml:space="preserve"> у сумі 7 979 100 гривень згідно з додатком  7 до цього рішення.</w:t>
      </w:r>
    </w:p>
    <w:p w:rsidR="00F15D0F" w:rsidRPr="00791F7A" w:rsidRDefault="00F15D0F" w:rsidP="00F15D0F">
      <w:pPr>
        <w:autoSpaceDE/>
        <w:autoSpaceDN/>
        <w:ind w:firstLine="567"/>
        <w:jc w:val="both"/>
        <w:rPr>
          <w:sz w:val="28"/>
          <w:szCs w:val="28"/>
          <w:lang w:val="uk-UA"/>
        </w:rPr>
      </w:pPr>
    </w:p>
    <w:p w:rsidR="00F15D0F" w:rsidRPr="00791F7A" w:rsidRDefault="00F15D0F" w:rsidP="00F15D0F">
      <w:pPr>
        <w:autoSpaceDE/>
        <w:autoSpaceDN/>
        <w:ind w:firstLine="567"/>
        <w:jc w:val="both"/>
        <w:rPr>
          <w:color w:val="000000"/>
          <w:sz w:val="28"/>
          <w:szCs w:val="28"/>
          <w:lang w:val="uk-UA"/>
        </w:rPr>
      </w:pPr>
      <w:r w:rsidRPr="00791F7A">
        <w:rPr>
          <w:sz w:val="28"/>
          <w:szCs w:val="28"/>
          <w:lang w:val="uk-UA"/>
        </w:rPr>
        <w:t xml:space="preserve">5. </w:t>
      </w:r>
      <w:r w:rsidRPr="00791F7A">
        <w:rPr>
          <w:color w:val="000000"/>
          <w:sz w:val="28"/>
          <w:szCs w:val="28"/>
          <w:lang w:val="uk-UA"/>
        </w:rPr>
        <w:t>Установити, що у загальному фонді бюджету територіальної громади на 2024 рік:</w:t>
      </w:r>
    </w:p>
    <w:p w:rsidR="00F15D0F" w:rsidRPr="00791F7A" w:rsidRDefault="00F15D0F" w:rsidP="00F15D0F">
      <w:pPr>
        <w:shd w:val="clear" w:color="auto" w:fill="FFFFFF"/>
        <w:spacing w:after="150"/>
        <w:ind w:firstLine="567"/>
        <w:jc w:val="both"/>
        <w:rPr>
          <w:color w:val="000000"/>
          <w:sz w:val="28"/>
          <w:szCs w:val="28"/>
          <w:lang w:val="uk-UA"/>
        </w:rPr>
      </w:pPr>
      <w:r w:rsidRPr="00791F7A">
        <w:rPr>
          <w:color w:val="000000"/>
          <w:sz w:val="28"/>
          <w:szCs w:val="28"/>
          <w:lang w:val="uk-UA"/>
        </w:rPr>
        <w:t>1) до доходів загального фонду бюджету селищної територіальної громади належать доходи, визначені статтею 64 Бюджетного кодексу України, та трансферти, визначені статтями 97, 101, 103-2 Бюджетного кодексу України (крім субвенцій, визначених </w:t>
      </w:r>
      <w:hyperlink r:id="rId7" w:anchor="n2290" w:tgtFrame="_blank" w:history="1">
        <w:r w:rsidRPr="00791F7A">
          <w:rPr>
            <w:sz w:val="28"/>
            <w:szCs w:val="28"/>
            <w:lang w:val="uk-UA"/>
          </w:rPr>
          <w:t>статтею 69</w:t>
        </w:r>
      </w:hyperlink>
      <w:hyperlink r:id="rId8" w:anchor="n2290" w:tgtFrame="_blank" w:history="1">
        <w:r w:rsidRPr="00791F7A">
          <w:rPr>
            <w:b/>
            <w:bCs/>
            <w:sz w:val="28"/>
            <w:szCs w:val="28"/>
            <w:vertAlign w:val="superscript"/>
            <w:lang w:val="uk-UA"/>
          </w:rPr>
          <w:t>-1</w:t>
        </w:r>
      </w:hyperlink>
      <w:r w:rsidRPr="00791F7A">
        <w:rPr>
          <w:sz w:val="28"/>
          <w:szCs w:val="28"/>
          <w:lang w:val="uk-UA"/>
        </w:rPr>
        <w:t> та </w:t>
      </w:r>
      <w:hyperlink r:id="rId9" w:anchor="n1170" w:tgtFrame="_blank" w:history="1">
        <w:r w:rsidRPr="00791F7A">
          <w:rPr>
            <w:sz w:val="28"/>
            <w:szCs w:val="28"/>
            <w:lang w:val="uk-UA"/>
          </w:rPr>
          <w:t>частиною першою статті 71</w:t>
        </w:r>
      </w:hyperlink>
      <w:r w:rsidRPr="00791F7A">
        <w:rPr>
          <w:sz w:val="28"/>
          <w:szCs w:val="28"/>
          <w:lang w:val="uk-UA"/>
        </w:rPr>
        <w:t xml:space="preserve"> </w:t>
      </w:r>
      <w:r w:rsidRPr="00791F7A">
        <w:rPr>
          <w:color w:val="000000"/>
          <w:sz w:val="28"/>
          <w:szCs w:val="28"/>
          <w:lang w:val="uk-UA"/>
        </w:rPr>
        <w:t>Бюджетного кодексу України).</w:t>
      </w:r>
    </w:p>
    <w:p w:rsidR="00F15D0F" w:rsidRPr="00791F7A" w:rsidRDefault="00F15D0F" w:rsidP="00F15D0F">
      <w:pPr>
        <w:shd w:val="clear" w:color="auto" w:fill="FFFFFF"/>
        <w:spacing w:after="150"/>
        <w:ind w:firstLine="567"/>
        <w:jc w:val="both"/>
        <w:rPr>
          <w:color w:val="000000"/>
          <w:sz w:val="28"/>
          <w:szCs w:val="28"/>
          <w:lang w:val="uk-UA"/>
        </w:rPr>
      </w:pPr>
      <w:r w:rsidRPr="00791F7A">
        <w:rPr>
          <w:color w:val="000000"/>
          <w:sz w:val="28"/>
          <w:szCs w:val="28"/>
          <w:lang w:val="uk-UA"/>
        </w:rPr>
        <w:t>2) джерелами формування у частині фінансування є надходження, визначені пунктом 10 частиною першою статті 71  статтею 72 Бюджетного кодексу України;</w:t>
      </w:r>
    </w:p>
    <w:p w:rsidR="00F15D0F" w:rsidRPr="00791F7A" w:rsidRDefault="00F15D0F" w:rsidP="00F15D0F">
      <w:pPr>
        <w:shd w:val="clear" w:color="auto" w:fill="FFFFFF"/>
        <w:spacing w:after="150"/>
        <w:ind w:firstLine="567"/>
        <w:jc w:val="both"/>
        <w:rPr>
          <w:color w:val="000000"/>
          <w:sz w:val="28"/>
          <w:szCs w:val="28"/>
          <w:lang w:val="uk-UA"/>
        </w:rPr>
      </w:pPr>
      <w:r w:rsidRPr="00791F7A">
        <w:rPr>
          <w:sz w:val="28"/>
          <w:szCs w:val="28"/>
        </w:rPr>
        <w:t xml:space="preserve">6. </w:t>
      </w:r>
      <w:r w:rsidRPr="00791F7A">
        <w:rPr>
          <w:color w:val="000000"/>
          <w:sz w:val="28"/>
          <w:szCs w:val="28"/>
          <w:lang w:val="uk-UA"/>
        </w:rPr>
        <w:t>Установити, що джерелами формування спеціального фонду бюджету  селищної</w:t>
      </w:r>
      <w:r w:rsidRPr="00791F7A">
        <w:rPr>
          <w:color w:val="000000"/>
          <w:sz w:val="28"/>
          <w:szCs w:val="28"/>
        </w:rPr>
        <w:t xml:space="preserve"> </w:t>
      </w:r>
      <w:r w:rsidRPr="00791F7A">
        <w:rPr>
          <w:color w:val="000000"/>
          <w:sz w:val="28"/>
          <w:szCs w:val="28"/>
          <w:lang w:val="uk-UA"/>
        </w:rPr>
        <w:t>територіальної громади на 20</w:t>
      </w:r>
      <w:r w:rsidRPr="00791F7A">
        <w:rPr>
          <w:color w:val="000000"/>
          <w:sz w:val="28"/>
          <w:szCs w:val="28"/>
        </w:rPr>
        <w:t>2</w:t>
      </w:r>
      <w:r w:rsidRPr="00791F7A">
        <w:rPr>
          <w:color w:val="000000"/>
          <w:sz w:val="28"/>
          <w:szCs w:val="28"/>
          <w:lang w:val="uk-UA"/>
        </w:rPr>
        <w:t>4 рік:</w:t>
      </w:r>
    </w:p>
    <w:p w:rsidR="00F15D0F" w:rsidRPr="00791F7A" w:rsidRDefault="00F15D0F" w:rsidP="00F15D0F">
      <w:pPr>
        <w:shd w:val="clear" w:color="auto" w:fill="FFFFFF"/>
        <w:spacing w:after="150"/>
        <w:ind w:firstLine="567"/>
        <w:jc w:val="both"/>
        <w:rPr>
          <w:color w:val="000000"/>
          <w:sz w:val="28"/>
          <w:szCs w:val="28"/>
          <w:lang w:val="uk-UA"/>
        </w:rPr>
      </w:pPr>
      <w:r w:rsidRPr="00791F7A">
        <w:rPr>
          <w:color w:val="000000"/>
          <w:sz w:val="28"/>
          <w:szCs w:val="28"/>
          <w:lang w:val="uk-UA"/>
        </w:rPr>
        <w:t xml:space="preserve">1) у частині доходів є надходження, визначені статтями 69-1 та 71 Бюджетного кодексу України; </w:t>
      </w:r>
    </w:p>
    <w:p w:rsidR="00F15D0F" w:rsidRPr="00791F7A" w:rsidRDefault="00F15D0F" w:rsidP="00F15D0F">
      <w:pPr>
        <w:shd w:val="clear" w:color="auto" w:fill="FFFFFF"/>
        <w:spacing w:after="150"/>
        <w:ind w:firstLine="567"/>
        <w:jc w:val="both"/>
        <w:rPr>
          <w:color w:val="000000"/>
          <w:sz w:val="28"/>
          <w:szCs w:val="28"/>
          <w:lang w:val="uk-UA"/>
        </w:rPr>
      </w:pPr>
      <w:r w:rsidRPr="00791F7A">
        <w:rPr>
          <w:color w:val="000000"/>
          <w:sz w:val="28"/>
          <w:szCs w:val="28"/>
          <w:lang w:val="uk-UA"/>
        </w:rPr>
        <w:t>2) у частині фінансування є надходження, визначені пунктом 10 частини 1 статті 71 Бюджетного кодексу України.</w:t>
      </w:r>
    </w:p>
    <w:p w:rsidR="00F15D0F" w:rsidRPr="00791F7A" w:rsidRDefault="00F15D0F" w:rsidP="00F15D0F">
      <w:pPr>
        <w:shd w:val="clear" w:color="auto" w:fill="FFFFFF"/>
        <w:spacing w:after="150"/>
        <w:ind w:firstLine="567"/>
        <w:jc w:val="both"/>
        <w:rPr>
          <w:color w:val="000000"/>
          <w:sz w:val="28"/>
          <w:szCs w:val="28"/>
          <w:lang w:val="uk-UA"/>
        </w:rPr>
      </w:pPr>
      <w:r w:rsidRPr="00791F7A">
        <w:rPr>
          <w:sz w:val="28"/>
          <w:szCs w:val="28"/>
          <w:lang w:val="uk-UA"/>
        </w:rPr>
        <w:t xml:space="preserve">7. </w:t>
      </w:r>
      <w:r w:rsidRPr="00791F7A">
        <w:rPr>
          <w:color w:val="000000"/>
          <w:sz w:val="28"/>
          <w:szCs w:val="28"/>
          <w:lang w:val="uk-UA"/>
        </w:rPr>
        <w:t>Установити, що у 2024 році кошти, отримані до спеціального фонду бюджету селищної територіальної громади згідно з відповідними пунктами частини першої статті 71 Бюджетного кодексу України, спрямовуються на реалізацію заходів, визначених частиною другою статті 71 Бюджетного кодексу України, а кошти, отримані до спеціального фонду згідно з відповідними підпунктами абзацу другого пункту 7 цього рішення, спрямовуються відповідно на:</w:t>
      </w:r>
    </w:p>
    <w:p w:rsidR="00F15D0F" w:rsidRPr="00791F7A" w:rsidRDefault="00F15D0F" w:rsidP="00F15D0F">
      <w:pPr>
        <w:shd w:val="clear" w:color="auto" w:fill="FFFFFF"/>
        <w:spacing w:after="150"/>
        <w:ind w:firstLine="567"/>
        <w:jc w:val="both"/>
        <w:rPr>
          <w:sz w:val="28"/>
          <w:szCs w:val="28"/>
          <w:lang w:val="uk-UA"/>
        </w:rPr>
      </w:pPr>
      <w:r w:rsidRPr="00791F7A">
        <w:rPr>
          <w:color w:val="000000"/>
          <w:sz w:val="28"/>
          <w:szCs w:val="28"/>
          <w:lang w:val="uk-UA"/>
        </w:rPr>
        <w:t xml:space="preserve">- </w:t>
      </w:r>
      <w:r w:rsidRPr="00791F7A">
        <w:rPr>
          <w:sz w:val="28"/>
          <w:szCs w:val="28"/>
          <w:lang w:val="uk-UA"/>
        </w:rPr>
        <w:t>реалізацію природоохоронних заходів ( за рахунок надходжень екологічного податку);</w:t>
      </w:r>
    </w:p>
    <w:p w:rsidR="00F15D0F" w:rsidRPr="00791F7A" w:rsidRDefault="00F15D0F" w:rsidP="00F15D0F">
      <w:pPr>
        <w:shd w:val="clear" w:color="auto" w:fill="FFFFFF"/>
        <w:spacing w:after="150"/>
        <w:ind w:firstLine="567"/>
        <w:jc w:val="both"/>
        <w:rPr>
          <w:sz w:val="28"/>
          <w:szCs w:val="28"/>
          <w:lang w:val="uk-UA"/>
        </w:rPr>
      </w:pPr>
      <w:r w:rsidRPr="00791F7A">
        <w:rPr>
          <w:sz w:val="28"/>
          <w:szCs w:val="28"/>
          <w:lang w:val="uk-UA"/>
        </w:rPr>
        <w:t>- на утримання бюджетних установ ( за рахунок власних надходжень бюджетних установ);</w:t>
      </w:r>
    </w:p>
    <w:p w:rsidR="00F15D0F" w:rsidRPr="00791F7A" w:rsidRDefault="00F15D0F" w:rsidP="00F15D0F">
      <w:pPr>
        <w:shd w:val="clear" w:color="auto" w:fill="FFFFFF"/>
        <w:spacing w:after="150"/>
        <w:ind w:firstLine="567"/>
        <w:jc w:val="both"/>
        <w:rPr>
          <w:sz w:val="28"/>
          <w:szCs w:val="28"/>
          <w:lang w:val="uk-UA"/>
        </w:rPr>
      </w:pPr>
      <w:r w:rsidRPr="00791F7A">
        <w:rPr>
          <w:sz w:val="28"/>
          <w:szCs w:val="28"/>
          <w:lang w:val="uk-UA"/>
        </w:rPr>
        <w:lastRenderedPageBreak/>
        <w:t>- на витрати визначені положенням про цільовий фонд .</w:t>
      </w:r>
    </w:p>
    <w:p w:rsidR="00F15D0F" w:rsidRPr="00791F7A" w:rsidRDefault="00F15D0F" w:rsidP="00F15D0F">
      <w:pPr>
        <w:autoSpaceDE/>
        <w:autoSpaceDN/>
        <w:jc w:val="both"/>
        <w:rPr>
          <w:sz w:val="28"/>
          <w:szCs w:val="28"/>
          <w:lang w:val="uk-UA"/>
        </w:rPr>
      </w:pPr>
      <w:r w:rsidRPr="00791F7A">
        <w:rPr>
          <w:sz w:val="28"/>
          <w:szCs w:val="28"/>
          <w:lang w:val="uk-UA"/>
        </w:rPr>
        <w:t xml:space="preserve">          8. Відповідно до статті 55 Бюджетного кодексу затвердити </w:t>
      </w:r>
      <w:r w:rsidRPr="00791F7A">
        <w:rPr>
          <w:b/>
          <w:bCs/>
          <w:sz w:val="28"/>
          <w:szCs w:val="28"/>
          <w:lang w:val="uk-UA"/>
        </w:rPr>
        <w:t>перелік захищених статей  видатків загального фонду</w:t>
      </w:r>
      <w:r w:rsidRPr="00791F7A">
        <w:rPr>
          <w:sz w:val="28"/>
          <w:szCs w:val="28"/>
          <w:lang w:val="uk-UA"/>
        </w:rPr>
        <w:t xml:space="preserve"> бюджету селищної територіальної громади на 2024 рік за їх економічною  структурою:</w:t>
      </w:r>
    </w:p>
    <w:p w:rsidR="00F15D0F" w:rsidRPr="00791F7A" w:rsidRDefault="00F15D0F" w:rsidP="00F15D0F">
      <w:pPr>
        <w:ind w:left="283"/>
        <w:rPr>
          <w:sz w:val="28"/>
          <w:szCs w:val="28"/>
          <w:lang w:val="uk-UA"/>
        </w:rPr>
      </w:pPr>
      <w:r w:rsidRPr="00791F7A">
        <w:rPr>
          <w:sz w:val="28"/>
          <w:szCs w:val="28"/>
          <w:lang w:val="uk-UA"/>
        </w:rPr>
        <w:t>оплату праці працівників бюджетних установ;</w:t>
      </w:r>
    </w:p>
    <w:p w:rsidR="00F15D0F" w:rsidRPr="00791F7A" w:rsidRDefault="00F15D0F" w:rsidP="00F15D0F">
      <w:pPr>
        <w:ind w:left="283"/>
        <w:rPr>
          <w:sz w:val="28"/>
          <w:szCs w:val="28"/>
          <w:lang w:val="uk-UA"/>
        </w:rPr>
      </w:pPr>
      <w:r w:rsidRPr="00791F7A">
        <w:rPr>
          <w:sz w:val="28"/>
          <w:szCs w:val="28"/>
          <w:lang w:val="uk-UA"/>
        </w:rPr>
        <w:t>нарахування на заробітну плату;</w:t>
      </w:r>
    </w:p>
    <w:p w:rsidR="00F15D0F" w:rsidRPr="00791F7A" w:rsidRDefault="00F15D0F" w:rsidP="00F15D0F">
      <w:pPr>
        <w:ind w:left="283"/>
        <w:rPr>
          <w:sz w:val="28"/>
          <w:szCs w:val="28"/>
          <w:lang w:val="uk-UA"/>
        </w:rPr>
      </w:pPr>
      <w:r w:rsidRPr="00791F7A">
        <w:rPr>
          <w:sz w:val="28"/>
          <w:szCs w:val="28"/>
          <w:lang w:val="uk-UA"/>
        </w:rPr>
        <w:t>придбання медикаментів та перев’язувальних матеріалів;</w:t>
      </w:r>
    </w:p>
    <w:p w:rsidR="00F15D0F" w:rsidRPr="00791F7A" w:rsidRDefault="00F15D0F" w:rsidP="00F15D0F">
      <w:pPr>
        <w:ind w:left="283"/>
        <w:rPr>
          <w:sz w:val="28"/>
          <w:szCs w:val="28"/>
          <w:lang w:val="uk-UA"/>
        </w:rPr>
      </w:pPr>
      <w:r w:rsidRPr="00791F7A">
        <w:rPr>
          <w:sz w:val="28"/>
          <w:szCs w:val="28"/>
          <w:lang w:val="uk-UA"/>
        </w:rPr>
        <w:t>забезпечення продуктами харчування;</w:t>
      </w:r>
    </w:p>
    <w:p w:rsidR="00F15D0F" w:rsidRPr="00791F7A" w:rsidRDefault="00F15D0F" w:rsidP="00F15D0F">
      <w:pPr>
        <w:ind w:left="283"/>
        <w:rPr>
          <w:sz w:val="28"/>
          <w:szCs w:val="28"/>
          <w:lang w:val="uk-UA"/>
        </w:rPr>
      </w:pPr>
      <w:r w:rsidRPr="00791F7A">
        <w:rPr>
          <w:sz w:val="28"/>
          <w:szCs w:val="28"/>
          <w:lang w:val="uk-UA"/>
        </w:rPr>
        <w:t>оплату комунальних послуг та енергоносіїв;</w:t>
      </w:r>
    </w:p>
    <w:p w:rsidR="00F15D0F" w:rsidRPr="00791F7A" w:rsidRDefault="00F15D0F" w:rsidP="00F15D0F">
      <w:pPr>
        <w:ind w:left="283"/>
        <w:rPr>
          <w:sz w:val="28"/>
          <w:szCs w:val="28"/>
          <w:lang w:val="uk-UA"/>
        </w:rPr>
      </w:pPr>
      <w:r w:rsidRPr="00791F7A">
        <w:rPr>
          <w:sz w:val="28"/>
          <w:szCs w:val="28"/>
          <w:lang w:val="uk-UA"/>
        </w:rPr>
        <w:t>поточні трансферти населенню;</w:t>
      </w:r>
    </w:p>
    <w:p w:rsidR="00F15D0F" w:rsidRPr="00791F7A" w:rsidRDefault="00F15D0F" w:rsidP="00F15D0F">
      <w:pPr>
        <w:ind w:left="283"/>
        <w:rPr>
          <w:sz w:val="28"/>
          <w:szCs w:val="28"/>
          <w:lang w:val="uk-UA"/>
        </w:rPr>
      </w:pPr>
      <w:r w:rsidRPr="00791F7A">
        <w:rPr>
          <w:sz w:val="28"/>
          <w:szCs w:val="28"/>
          <w:lang w:val="uk-UA"/>
        </w:rPr>
        <w:t>поточні трансферти місцевим бюджетам.</w:t>
      </w:r>
    </w:p>
    <w:p w:rsidR="00F15D0F" w:rsidRPr="00791F7A" w:rsidRDefault="00F15D0F" w:rsidP="00F15D0F">
      <w:pPr>
        <w:ind w:firstLine="720"/>
        <w:jc w:val="both"/>
        <w:rPr>
          <w:sz w:val="28"/>
          <w:szCs w:val="28"/>
          <w:lang w:val="uk-UA"/>
        </w:rPr>
      </w:pPr>
    </w:p>
    <w:p w:rsidR="00F15D0F" w:rsidRPr="00791F7A" w:rsidRDefault="00F15D0F" w:rsidP="00F15D0F">
      <w:pPr>
        <w:ind w:firstLine="720"/>
        <w:jc w:val="both"/>
        <w:rPr>
          <w:sz w:val="28"/>
          <w:szCs w:val="28"/>
          <w:lang w:val="uk-UA"/>
        </w:rPr>
      </w:pPr>
      <w:r w:rsidRPr="00791F7A">
        <w:rPr>
          <w:sz w:val="28"/>
          <w:szCs w:val="28"/>
          <w:lang w:val="uk-UA"/>
        </w:rPr>
        <w:t xml:space="preserve">9. Відповідно до статей 43 та 73 Бюджетного кодексу України надати право фінансовому управлінню Солотвинської </w:t>
      </w:r>
      <w:r w:rsidRPr="00791F7A">
        <w:rPr>
          <w:bCs/>
          <w:sz w:val="28"/>
          <w:szCs w:val="28"/>
          <w:lang w:val="uk-UA"/>
        </w:rPr>
        <w:t>селищної ради</w:t>
      </w:r>
      <w:r w:rsidRPr="00791F7A">
        <w:rPr>
          <w:sz w:val="28"/>
          <w:szCs w:val="28"/>
          <w:lang w:val="uk-UA"/>
        </w:rPr>
        <w:t xml:space="preserve"> (О.</w:t>
      </w:r>
      <w:proofErr w:type="spellStart"/>
      <w:r w:rsidRPr="00791F7A">
        <w:rPr>
          <w:sz w:val="28"/>
          <w:szCs w:val="28"/>
          <w:lang w:val="uk-UA"/>
        </w:rPr>
        <w:t>Медвідь</w:t>
      </w:r>
      <w:proofErr w:type="spellEnd"/>
      <w:r w:rsidRPr="00791F7A">
        <w:rPr>
          <w:sz w:val="28"/>
          <w:szCs w:val="28"/>
          <w:lang w:val="uk-UA"/>
        </w:rPr>
        <w:t>) отримувати у порядку, визначеному Кабінетом Міністрів України позики на покриття тимчасових касових розривів селищного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F15D0F" w:rsidRPr="00791F7A" w:rsidRDefault="00F15D0F" w:rsidP="00F15D0F">
      <w:pPr>
        <w:ind w:firstLine="720"/>
        <w:jc w:val="both"/>
        <w:rPr>
          <w:sz w:val="28"/>
          <w:szCs w:val="28"/>
          <w:lang w:val="uk-UA"/>
        </w:rPr>
      </w:pPr>
    </w:p>
    <w:p w:rsidR="00F15D0F" w:rsidRPr="00791F7A" w:rsidRDefault="00F15D0F" w:rsidP="00F15D0F">
      <w:pPr>
        <w:tabs>
          <w:tab w:val="left" w:pos="540"/>
        </w:tabs>
        <w:autoSpaceDE/>
        <w:autoSpaceDN/>
        <w:jc w:val="both"/>
        <w:rPr>
          <w:sz w:val="28"/>
          <w:szCs w:val="28"/>
          <w:lang w:val="uk-UA" w:eastAsia="uk-UA"/>
        </w:rPr>
      </w:pPr>
      <w:r w:rsidRPr="00791F7A">
        <w:rPr>
          <w:sz w:val="28"/>
          <w:szCs w:val="28"/>
          <w:lang w:val="uk-UA" w:eastAsia="uk-UA"/>
        </w:rPr>
        <w:t xml:space="preserve">         10.  Головним розпорядникам коштів селищної територіальної громади на виконання норм Бюджетного кодексу України забезпечити:</w:t>
      </w:r>
    </w:p>
    <w:p w:rsidR="00F15D0F" w:rsidRPr="00791F7A" w:rsidRDefault="00F15D0F" w:rsidP="00F15D0F">
      <w:pPr>
        <w:autoSpaceDE/>
        <w:autoSpaceDN/>
        <w:ind w:firstLine="709"/>
        <w:jc w:val="both"/>
        <w:rPr>
          <w:sz w:val="28"/>
          <w:szCs w:val="28"/>
          <w:lang w:val="uk-UA" w:eastAsia="uk-UA"/>
        </w:rPr>
      </w:pPr>
      <w:r w:rsidRPr="00791F7A">
        <w:rPr>
          <w:sz w:val="28"/>
          <w:szCs w:val="28"/>
          <w:lang w:val="uk-UA" w:eastAsia="uk-UA"/>
        </w:rPr>
        <w:t>1) затвердження паспортів бюджетних програм протягом 45 днів з дня набрання чинності цим рішенням;</w:t>
      </w:r>
    </w:p>
    <w:p w:rsidR="00F15D0F" w:rsidRPr="00791F7A" w:rsidRDefault="00F15D0F" w:rsidP="00F15D0F">
      <w:pPr>
        <w:autoSpaceDE/>
        <w:autoSpaceDN/>
        <w:ind w:firstLine="709"/>
        <w:jc w:val="both"/>
        <w:rPr>
          <w:sz w:val="28"/>
          <w:szCs w:val="28"/>
          <w:lang w:val="uk-UA" w:eastAsia="uk-UA"/>
        </w:rPr>
      </w:pPr>
      <w:r w:rsidRPr="00791F7A">
        <w:rPr>
          <w:sz w:val="28"/>
          <w:szCs w:val="28"/>
          <w:lang w:val="uk-UA" w:eastAsia="uk-UA"/>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F15D0F" w:rsidRPr="00791F7A" w:rsidRDefault="00F15D0F" w:rsidP="00F15D0F">
      <w:pPr>
        <w:autoSpaceDE/>
        <w:autoSpaceDN/>
        <w:ind w:firstLine="709"/>
        <w:jc w:val="both"/>
        <w:rPr>
          <w:sz w:val="28"/>
          <w:szCs w:val="28"/>
          <w:lang w:val="uk-UA" w:eastAsia="uk-UA"/>
        </w:rPr>
      </w:pPr>
      <w:r w:rsidRPr="00791F7A">
        <w:rPr>
          <w:sz w:val="28"/>
          <w:szCs w:val="28"/>
          <w:lang w:val="uk-UA" w:eastAsia="uk-UA"/>
        </w:rPr>
        <w:t>3) забезпечення доступності інформації про бюджет відповідно до законодавства, а саме:</w:t>
      </w:r>
    </w:p>
    <w:p w:rsidR="00F15D0F" w:rsidRPr="00791F7A" w:rsidRDefault="00F15D0F" w:rsidP="00F15D0F">
      <w:pPr>
        <w:autoSpaceDE/>
        <w:autoSpaceDN/>
        <w:ind w:firstLine="709"/>
        <w:jc w:val="both"/>
        <w:rPr>
          <w:sz w:val="28"/>
          <w:szCs w:val="28"/>
          <w:lang w:val="uk-UA" w:eastAsia="uk-UA"/>
        </w:rPr>
      </w:pPr>
      <w:r w:rsidRPr="00791F7A">
        <w:rPr>
          <w:sz w:val="28"/>
          <w:szCs w:val="28"/>
          <w:lang w:val="uk-UA" w:eastAsia="uk-UA"/>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2024 року;</w:t>
      </w:r>
    </w:p>
    <w:p w:rsidR="00F15D0F" w:rsidRPr="00791F7A" w:rsidRDefault="00F15D0F" w:rsidP="00F15D0F">
      <w:pPr>
        <w:autoSpaceDE/>
        <w:autoSpaceDN/>
        <w:ind w:firstLine="709"/>
        <w:jc w:val="both"/>
        <w:rPr>
          <w:sz w:val="28"/>
          <w:szCs w:val="28"/>
          <w:lang w:val="uk-UA" w:eastAsia="uk-UA"/>
        </w:rPr>
      </w:pPr>
      <w:r w:rsidRPr="00791F7A">
        <w:rPr>
          <w:sz w:val="28"/>
          <w:szCs w:val="28"/>
          <w:lang w:val="uk-UA" w:eastAsia="uk-UA"/>
        </w:rPr>
        <w:t>оприлюднювати паспорти бюджетних програм у триденний строк з дня затвердження таких документів;</w:t>
      </w:r>
    </w:p>
    <w:p w:rsidR="00F15D0F" w:rsidRPr="00791F7A" w:rsidRDefault="00F15D0F" w:rsidP="00F15D0F">
      <w:pPr>
        <w:autoSpaceDE/>
        <w:autoSpaceDN/>
        <w:ind w:firstLine="709"/>
        <w:jc w:val="both"/>
        <w:rPr>
          <w:sz w:val="28"/>
          <w:szCs w:val="28"/>
          <w:lang w:val="uk-UA" w:eastAsia="uk-UA"/>
        </w:rPr>
      </w:pPr>
      <w:r w:rsidRPr="00791F7A">
        <w:rPr>
          <w:sz w:val="28"/>
          <w:szCs w:val="28"/>
          <w:lang w:val="uk-UA" w:eastAsia="uk-UA"/>
        </w:rPr>
        <w:t>4) забезпечення у першочерговому порядку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та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укладання договорів за кожним видом енергоносіїв у межах встановлених відповідним головним розпорядником бюджетних асигнувань, затверджених у кошторисі.</w:t>
      </w:r>
    </w:p>
    <w:p w:rsidR="00F15D0F" w:rsidRPr="00791F7A" w:rsidRDefault="00F15D0F" w:rsidP="00F15D0F">
      <w:pPr>
        <w:ind w:firstLine="567"/>
        <w:jc w:val="both"/>
        <w:rPr>
          <w:sz w:val="28"/>
          <w:szCs w:val="28"/>
          <w:lang w:val="uk-UA"/>
        </w:rPr>
      </w:pPr>
    </w:p>
    <w:p w:rsidR="00F15D0F" w:rsidRPr="00791F7A" w:rsidRDefault="00F15D0F" w:rsidP="00F15D0F">
      <w:pPr>
        <w:ind w:firstLine="567"/>
        <w:jc w:val="both"/>
        <w:rPr>
          <w:sz w:val="28"/>
          <w:szCs w:val="28"/>
          <w:lang w:val="uk-UA"/>
        </w:rPr>
      </w:pPr>
      <w:r w:rsidRPr="00791F7A">
        <w:rPr>
          <w:sz w:val="28"/>
          <w:szCs w:val="28"/>
          <w:lang w:val="uk-UA"/>
        </w:rPr>
        <w:t xml:space="preserve">11. Установити, що перерозподіл бюджетних призначень головного розпорядника бюджетних коштів у процесі виконання бюджету </w:t>
      </w:r>
      <w:r w:rsidRPr="00791F7A">
        <w:rPr>
          <w:bCs/>
          <w:sz w:val="28"/>
          <w:szCs w:val="28"/>
          <w:lang w:val="uk-UA"/>
        </w:rPr>
        <w:t xml:space="preserve">селищної </w:t>
      </w:r>
      <w:r w:rsidRPr="00791F7A">
        <w:rPr>
          <w:sz w:val="28"/>
          <w:szCs w:val="28"/>
          <w:lang w:val="uk-UA"/>
        </w:rPr>
        <w:t>територіальної громади здійснюється з дотриманням вимог статті 23 Бюджетного кодексу України.</w:t>
      </w:r>
    </w:p>
    <w:p w:rsidR="00F15D0F" w:rsidRPr="00791F7A" w:rsidRDefault="00F15D0F" w:rsidP="00F15D0F">
      <w:pPr>
        <w:ind w:firstLine="567"/>
        <w:jc w:val="both"/>
        <w:rPr>
          <w:sz w:val="28"/>
          <w:szCs w:val="28"/>
          <w:lang w:val="uk-UA"/>
        </w:rPr>
      </w:pPr>
    </w:p>
    <w:p w:rsidR="00F15D0F" w:rsidRPr="00791F7A" w:rsidRDefault="00F15D0F" w:rsidP="00F15D0F">
      <w:pPr>
        <w:ind w:firstLine="567"/>
        <w:jc w:val="both"/>
        <w:rPr>
          <w:sz w:val="28"/>
          <w:szCs w:val="28"/>
          <w:lang w:val="uk-UA" w:eastAsia="uk-UA"/>
        </w:rPr>
      </w:pPr>
      <w:r w:rsidRPr="00791F7A">
        <w:rPr>
          <w:sz w:val="28"/>
          <w:szCs w:val="28"/>
          <w:lang w:val="uk-UA" w:eastAsia="uk-UA"/>
        </w:rPr>
        <w:t>12. Здійснювати видатки з 1 січня 2024 року з бюджету територіальної громади на забезпечення діяльності бюджетних установ, закладів, визначених у додатку 3 до цього рішення, відповідно до розмежування видатків між бюджетами, визначеного Бюджетним кодексом України.</w:t>
      </w:r>
    </w:p>
    <w:p w:rsidR="00F15D0F" w:rsidRPr="00791F7A" w:rsidRDefault="00F15D0F" w:rsidP="00F15D0F">
      <w:pPr>
        <w:ind w:firstLine="567"/>
        <w:jc w:val="both"/>
        <w:rPr>
          <w:sz w:val="28"/>
          <w:szCs w:val="28"/>
          <w:lang w:val="uk-UA" w:eastAsia="uk-UA"/>
        </w:rPr>
      </w:pPr>
    </w:p>
    <w:p w:rsidR="00F15D0F" w:rsidRPr="00791F7A" w:rsidRDefault="00F15D0F" w:rsidP="00F15D0F">
      <w:pPr>
        <w:tabs>
          <w:tab w:val="left" w:pos="180"/>
          <w:tab w:val="left" w:pos="540"/>
        </w:tabs>
        <w:jc w:val="both"/>
        <w:rPr>
          <w:b/>
          <w:sz w:val="28"/>
          <w:szCs w:val="28"/>
          <w:lang w:val="uk-UA"/>
        </w:rPr>
      </w:pPr>
      <w:r w:rsidRPr="00791F7A">
        <w:rPr>
          <w:b/>
          <w:sz w:val="28"/>
          <w:szCs w:val="28"/>
          <w:lang w:val="uk-UA"/>
        </w:rPr>
        <w:t xml:space="preserve">       </w:t>
      </w:r>
      <w:r w:rsidRPr="00791F7A">
        <w:rPr>
          <w:sz w:val="28"/>
          <w:szCs w:val="28"/>
          <w:lang w:val="uk-UA"/>
        </w:rPr>
        <w:t>13.</w:t>
      </w:r>
      <w:r w:rsidRPr="00791F7A">
        <w:rPr>
          <w:b/>
          <w:sz w:val="28"/>
          <w:szCs w:val="28"/>
          <w:lang w:val="uk-UA"/>
        </w:rPr>
        <w:t> </w:t>
      </w:r>
      <w:r w:rsidRPr="00791F7A">
        <w:rPr>
          <w:sz w:val="28"/>
          <w:szCs w:val="28"/>
          <w:lang w:val="uk-UA"/>
        </w:rPr>
        <w:t xml:space="preserve">Надати право фінансовому управлінню </w:t>
      </w:r>
      <w:r w:rsidRPr="00791F7A">
        <w:rPr>
          <w:bCs/>
          <w:sz w:val="28"/>
          <w:szCs w:val="28"/>
          <w:lang w:val="uk-UA"/>
        </w:rPr>
        <w:t>селищної р</w:t>
      </w:r>
      <w:r w:rsidRPr="00791F7A">
        <w:rPr>
          <w:sz w:val="28"/>
          <w:szCs w:val="28"/>
          <w:lang w:val="uk-UA"/>
        </w:rPr>
        <w:t>ади (О.</w:t>
      </w:r>
      <w:proofErr w:type="spellStart"/>
      <w:r w:rsidRPr="00791F7A">
        <w:rPr>
          <w:sz w:val="28"/>
          <w:szCs w:val="28"/>
          <w:lang w:val="uk-UA"/>
        </w:rPr>
        <w:t>Медвідь</w:t>
      </w:r>
      <w:proofErr w:type="spellEnd"/>
      <w:r w:rsidRPr="00791F7A">
        <w:rPr>
          <w:sz w:val="28"/>
          <w:szCs w:val="28"/>
          <w:lang w:val="uk-UA"/>
        </w:rPr>
        <w:t xml:space="preserve">) за погодженням з постійною комісією селищної ради з питань планування фінансів, бюджету, інвестицій та міжнародного співробітництва, соціально-економічного розвитку </w:t>
      </w:r>
      <w:r w:rsidRPr="00791F7A">
        <w:rPr>
          <w:sz w:val="28"/>
          <w:szCs w:val="28"/>
          <w:lang w:val="uk-UA" w:eastAsia="uk-UA"/>
        </w:rPr>
        <w:t xml:space="preserve">(Б. </w:t>
      </w:r>
      <w:proofErr w:type="spellStart"/>
      <w:r w:rsidRPr="00791F7A">
        <w:rPr>
          <w:sz w:val="28"/>
          <w:szCs w:val="28"/>
          <w:lang w:val="uk-UA" w:eastAsia="uk-UA"/>
        </w:rPr>
        <w:t>Білусяк</w:t>
      </w:r>
      <w:proofErr w:type="spellEnd"/>
      <w:r w:rsidRPr="00791F7A">
        <w:rPr>
          <w:sz w:val="28"/>
          <w:szCs w:val="28"/>
          <w:lang w:val="uk-UA" w:eastAsia="uk-UA"/>
        </w:rPr>
        <w:t xml:space="preserve">)  </w:t>
      </w:r>
      <w:r w:rsidRPr="00791F7A">
        <w:rPr>
          <w:sz w:val="28"/>
          <w:szCs w:val="28"/>
          <w:lang w:val="uk-UA"/>
        </w:rPr>
        <w:t xml:space="preserve">при внесенні змін та доповнень до класифікації доходів, відомчої та типової програмної класифікації видатків та кредитування приводити у відповідність до неї доходи, видатки, фінансування селищного бюджету з подальшим затвердженням на сесії </w:t>
      </w:r>
      <w:r w:rsidRPr="00791F7A">
        <w:rPr>
          <w:bCs/>
          <w:sz w:val="28"/>
          <w:szCs w:val="28"/>
          <w:lang w:val="uk-UA"/>
        </w:rPr>
        <w:t>селищної ради</w:t>
      </w:r>
      <w:r w:rsidRPr="00791F7A">
        <w:rPr>
          <w:sz w:val="28"/>
          <w:szCs w:val="28"/>
          <w:lang w:val="uk-UA"/>
        </w:rPr>
        <w:t>.</w:t>
      </w:r>
      <w:r w:rsidRPr="00791F7A">
        <w:rPr>
          <w:b/>
          <w:sz w:val="28"/>
          <w:szCs w:val="28"/>
          <w:lang w:val="uk-UA"/>
        </w:rPr>
        <w:t xml:space="preserve">  </w:t>
      </w:r>
    </w:p>
    <w:p w:rsidR="00F15D0F" w:rsidRPr="00791F7A" w:rsidRDefault="00F15D0F" w:rsidP="00F15D0F">
      <w:pPr>
        <w:tabs>
          <w:tab w:val="left" w:pos="180"/>
          <w:tab w:val="left" w:pos="540"/>
        </w:tabs>
        <w:jc w:val="both"/>
        <w:rPr>
          <w:b/>
          <w:sz w:val="28"/>
          <w:szCs w:val="28"/>
          <w:lang w:val="uk-UA"/>
        </w:rPr>
      </w:pPr>
      <w:r w:rsidRPr="00791F7A">
        <w:rPr>
          <w:b/>
          <w:sz w:val="28"/>
          <w:szCs w:val="28"/>
          <w:lang w:val="uk-UA"/>
        </w:rPr>
        <w:t xml:space="preserve"> </w:t>
      </w:r>
    </w:p>
    <w:p w:rsidR="00F15D0F" w:rsidRPr="00791F7A" w:rsidRDefault="00F15D0F" w:rsidP="00F15D0F">
      <w:pPr>
        <w:tabs>
          <w:tab w:val="left" w:pos="180"/>
          <w:tab w:val="left" w:pos="540"/>
        </w:tabs>
        <w:jc w:val="both"/>
        <w:rPr>
          <w:b/>
          <w:sz w:val="28"/>
          <w:szCs w:val="28"/>
          <w:lang w:val="uk-UA"/>
        </w:rPr>
      </w:pPr>
      <w:r w:rsidRPr="00791F7A">
        <w:rPr>
          <w:b/>
          <w:sz w:val="28"/>
          <w:szCs w:val="28"/>
          <w:lang w:val="uk-UA"/>
        </w:rPr>
        <w:t xml:space="preserve">       </w:t>
      </w:r>
      <w:r w:rsidRPr="00791F7A">
        <w:rPr>
          <w:sz w:val="28"/>
          <w:szCs w:val="28"/>
          <w:lang w:val="uk-UA"/>
        </w:rPr>
        <w:t>14. Рішення набуває чинності з 1 січня 2024 року.</w:t>
      </w:r>
    </w:p>
    <w:p w:rsidR="00F15D0F" w:rsidRPr="00791F7A" w:rsidRDefault="00F15D0F" w:rsidP="00F15D0F">
      <w:pPr>
        <w:tabs>
          <w:tab w:val="left" w:pos="180"/>
          <w:tab w:val="left" w:pos="540"/>
        </w:tabs>
        <w:jc w:val="both"/>
        <w:rPr>
          <w:sz w:val="28"/>
          <w:szCs w:val="28"/>
          <w:lang w:val="uk-UA"/>
        </w:rPr>
      </w:pPr>
      <w:r w:rsidRPr="00791F7A">
        <w:rPr>
          <w:sz w:val="28"/>
          <w:szCs w:val="28"/>
          <w:lang w:val="uk-UA"/>
        </w:rPr>
        <w:t xml:space="preserve">      </w:t>
      </w:r>
    </w:p>
    <w:p w:rsidR="00F15D0F" w:rsidRPr="00791F7A" w:rsidRDefault="00F15D0F" w:rsidP="00F15D0F">
      <w:pPr>
        <w:tabs>
          <w:tab w:val="left" w:pos="180"/>
          <w:tab w:val="left" w:pos="540"/>
        </w:tabs>
        <w:jc w:val="both"/>
        <w:rPr>
          <w:b/>
          <w:sz w:val="28"/>
          <w:szCs w:val="28"/>
          <w:lang w:val="uk-UA"/>
        </w:rPr>
      </w:pPr>
      <w:r w:rsidRPr="00791F7A">
        <w:rPr>
          <w:sz w:val="28"/>
          <w:szCs w:val="28"/>
          <w:lang w:val="uk-UA"/>
        </w:rPr>
        <w:t xml:space="preserve">       15. Додатки № 1, 3, 5,7 до цього рішення є його невід’ємною частиною.</w:t>
      </w:r>
    </w:p>
    <w:p w:rsidR="00F15D0F" w:rsidRPr="00791F7A" w:rsidRDefault="00F15D0F" w:rsidP="00F15D0F">
      <w:pPr>
        <w:jc w:val="both"/>
        <w:rPr>
          <w:sz w:val="28"/>
          <w:szCs w:val="28"/>
          <w:lang w:val="uk-UA"/>
        </w:rPr>
      </w:pPr>
      <w:r w:rsidRPr="00791F7A">
        <w:rPr>
          <w:sz w:val="28"/>
          <w:szCs w:val="28"/>
          <w:lang w:val="uk-UA"/>
        </w:rPr>
        <w:t xml:space="preserve">      </w:t>
      </w:r>
    </w:p>
    <w:p w:rsidR="00F15D0F" w:rsidRPr="00791F7A" w:rsidRDefault="00F15D0F" w:rsidP="00F15D0F">
      <w:pPr>
        <w:jc w:val="both"/>
        <w:rPr>
          <w:sz w:val="28"/>
          <w:szCs w:val="28"/>
          <w:lang w:val="uk-UA"/>
        </w:rPr>
      </w:pPr>
      <w:r w:rsidRPr="00791F7A">
        <w:rPr>
          <w:sz w:val="28"/>
          <w:szCs w:val="28"/>
          <w:lang w:val="uk-UA"/>
        </w:rPr>
        <w:t xml:space="preserve">       16. Відповідно до частини четвертої статті 28 Бюджетного кодексу України секретарю  селищної ради (В. </w:t>
      </w:r>
      <w:proofErr w:type="spellStart"/>
      <w:r w:rsidRPr="00791F7A">
        <w:rPr>
          <w:sz w:val="28"/>
          <w:szCs w:val="28"/>
          <w:lang w:val="uk-UA"/>
        </w:rPr>
        <w:t>Мандзюку</w:t>
      </w:r>
      <w:proofErr w:type="spellEnd"/>
      <w:r w:rsidRPr="00791F7A">
        <w:rPr>
          <w:sz w:val="28"/>
          <w:szCs w:val="28"/>
          <w:lang w:val="uk-UA"/>
        </w:rPr>
        <w:t>) опублікувати дане рішення в десятиденний термін з дня його прийняття.</w:t>
      </w:r>
    </w:p>
    <w:p w:rsidR="00F15D0F" w:rsidRPr="00791F7A" w:rsidRDefault="00F15D0F" w:rsidP="00F15D0F">
      <w:pPr>
        <w:ind w:firstLine="420"/>
        <w:jc w:val="both"/>
        <w:rPr>
          <w:sz w:val="28"/>
          <w:szCs w:val="28"/>
          <w:lang w:val="uk-UA"/>
        </w:rPr>
      </w:pPr>
    </w:p>
    <w:p w:rsidR="00F15D0F" w:rsidRPr="00DC5F87" w:rsidRDefault="00F15D0F" w:rsidP="00F15D0F">
      <w:pPr>
        <w:tabs>
          <w:tab w:val="left" w:pos="2268"/>
        </w:tabs>
        <w:jc w:val="both"/>
        <w:rPr>
          <w:rFonts w:eastAsia="Arial Unicode MS"/>
          <w:color w:val="000000"/>
          <w:sz w:val="28"/>
          <w:szCs w:val="28"/>
          <w:lang w:val="uk-UA" w:eastAsia="uk-UA"/>
        </w:rPr>
      </w:pPr>
      <w:r w:rsidRPr="00791F7A">
        <w:rPr>
          <w:b/>
          <w:sz w:val="28"/>
          <w:szCs w:val="28"/>
          <w:lang w:val="uk-UA" w:eastAsia="uk-UA"/>
        </w:rPr>
        <w:t xml:space="preserve">  </w:t>
      </w:r>
      <w:r>
        <w:rPr>
          <w:b/>
          <w:sz w:val="28"/>
          <w:szCs w:val="28"/>
          <w:lang w:val="uk-UA" w:eastAsia="uk-UA"/>
        </w:rPr>
        <w:t xml:space="preserve">     </w:t>
      </w:r>
      <w:r w:rsidRPr="00791F7A">
        <w:rPr>
          <w:sz w:val="28"/>
          <w:szCs w:val="28"/>
          <w:lang w:val="uk-UA" w:eastAsia="uk-UA"/>
        </w:rPr>
        <w:t xml:space="preserve">17. </w:t>
      </w:r>
      <w:r w:rsidRPr="00240188">
        <w:rPr>
          <w:rFonts w:eastAsia="Arial Unicode MS"/>
          <w:color w:val="000000"/>
          <w:sz w:val="28"/>
          <w:szCs w:val="28"/>
          <w:lang w:val="uk-UA" w:eastAsia="uk-UA"/>
        </w:rPr>
        <w:t xml:space="preserve">Контроль за виконанням рішення покласти на заступника селищного голови </w:t>
      </w:r>
      <w:r w:rsidRPr="00DC5F87">
        <w:rPr>
          <w:rFonts w:eastAsia="Arial Unicode MS"/>
          <w:color w:val="000000"/>
          <w:sz w:val="28"/>
          <w:szCs w:val="28"/>
          <w:lang w:val="uk-UA" w:eastAsia="uk-UA"/>
        </w:rPr>
        <w:t>з питань діяльності виконавчих органів ради Ю.Я. Іванишина та постійну комісію селищної ради з питань планування фінансів, бюджету, інвестицій та міжнародного співробітництва,  с</w:t>
      </w:r>
      <w:r w:rsidRPr="00240188">
        <w:rPr>
          <w:rFonts w:eastAsia="Arial Unicode MS"/>
          <w:color w:val="000000"/>
          <w:sz w:val="28"/>
          <w:szCs w:val="28"/>
          <w:lang w:val="uk-UA" w:eastAsia="uk-UA"/>
        </w:rPr>
        <w:t xml:space="preserve">оціально-економічного розвитку </w:t>
      </w:r>
      <w:r w:rsidRPr="00DC5F87">
        <w:rPr>
          <w:rFonts w:eastAsia="Arial Unicode MS"/>
          <w:color w:val="000000"/>
          <w:sz w:val="28"/>
          <w:szCs w:val="28"/>
          <w:lang w:val="uk-UA" w:eastAsia="uk-UA"/>
        </w:rPr>
        <w:t>(Б.В.</w:t>
      </w:r>
      <w:r>
        <w:rPr>
          <w:rFonts w:eastAsia="Arial Unicode MS"/>
          <w:color w:val="000000"/>
          <w:sz w:val="28"/>
          <w:szCs w:val="28"/>
          <w:lang w:val="uk-UA" w:eastAsia="uk-UA"/>
        </w:rPr>
        <w:t xml:space="preserve"> </w:t>
      </w:r>
      <w:proofErr w:type="spellStart"/>
      <w:r w:rsidRPr="00DC5F87">
        <w:rPr>
          <w:rFonts w:eastAsia="Arial Unicode MS"/>
          <w:color w:val="000000"/>
          <w:sz w:val="28"/>
          <w:szCs w:val="28"/>
          <w:lang w:val="uk-UA" w:eastAsia="uk-UA"/>
        </w:rPr>
        <w:t>Білусяка</w:t>
      </w:r>
      <w:proofErr w:type="spellEnd"/>
      <w:r w:rsidRPr="00DC5F87">
        <w:rPr>
          <w:rFonts w:eastAsia="Arial Unicode MS"/>
          <w:color w:val="000000"/>
          <w:sz w:val="28"/>
          <w:szCs w:val="28"/>
          <w:lang w:val="uk-UA" w:eastAsia="uk-UA"/>
        </w:rPr>
        <w:t>)</w:t>
      </w:r>
      <w:r w:rsidRPr="00240188">
        <w:rPr>
          <w:rFonts w:eastAsia="Arial Unicode MS"/>
          <w:color w:val="000000"/>
          <w:sz w:val="28"/>
          <w:szCs w:val="28"/>
          <w:lang w:val="uk-UA" w:eastAsia="uk-UA"/>
        </w:rPr>
        <w:t>.</w:t>
      </w:r>
    </w:p>
    <w:p w:rsidR="00F15D0F" w:rsidRDefault="00F15D0F" w:rsidP="00F15D0F">
      <w:pPr>
        <w:ind w:firstLine="283"/>
        <w:jc w:val="both"/>
        <w:rPr>
          <w:sz w:val="28"/>
          <w:szCs w:val="28"/>
          <w:lang w:val="uk-UA" w:eastAsia="uk-UA"/>
        </w:rPr>
      </w:pPr>
    </w:p>
    <w:p w:rsidR="00F15D0F" w:rsidRPr="00791F7A" w:rsidRDefault="00F15D0F" w:rsidP="00F15D0F">
      <w:pPr>
        <w:ind w:firstLine="283"/>
        <w:jc w:val="both"/>
        <w:rPr>
          <w:sz w:val="28"/>
          <w:szCs w:val="28"/>
          <w:lang w:val="uk-UA" w:eastAsia="uk-UA"/>
        </w:rPr>
      </w:pPr>
    </w:p>
    <w:p w:rsidR="00F15D0F" w:rsidRPr="00791F7A" w:rsidRDefault="00F15D0F" w:rsidP="00F15D0F">
      <w:pPr>
        <w:rPr>
          <w:b/>
          <w:bCs/>
          <w:sz w:val="28"/>
          <w:szCs w:val="28"/>
          <w:lang w:val="uk-UA"/>
        </w:rPr>
      </w:pPr>
    </w:p>
    <w:p w:rsidR="00F15D0F" w:rsidRPr="00791F7A" w:rsidRDefault="00F15D0F" w:rsidP="00F15D0F">
      <w:pPr>
        <w:rPr>
          <w:b/>
          <w:bCs/>
          <w:sz w:val="28"/>
          <w:szCs w:val="28"/>
          <w:lang w:val="uk-UA"/>
        </w:rPr>
      </w:pPr>
    </w:p>
    <w:p w:rsidR="00F15D0F" w:rsidRDefault="00F15D0F" w:rsidP="00F15D0F">
      <w:pPr>
        <w:rPr>
          <w:b/>
          <w:sz w:val="28"/>
          <w:szCs w:val="28"/>
          <w:lang w:val="uk-UA"/>
        </w:rPr>
      </w:pPr>
      <w:r w:rsidRPr="00791F7A">
        <w:rPr>
          <w:b/>
          <w:bCs/>
          <w:sz w:val="28"/>
          <w:szCs w:val="28"/>
          <w:lang w:val="uk-UA"/>
        </w:rPr>
        <w:t>Селищний голова</w:t>
      </w:r>
      <w:r w:rsidRPr="00791F7A">
        <w:rPr>
          <w:b/>
          <w:sz w:val="28"/>
          <w:szCs w:val="28"/>
          <w:lang w:val="uk-UA"/>
        </w:rPr>
        <w:t xml:space="preserve">  </w:t>
      </w:r>
      <w:r w:rsidRPr="00791F7A">
        <w:rPr>
          <w:b/>
          <w:sz w:val="28"/>
          <w:szCs w:val="28"/>
          <w:lang w:val="uk-UA"/>
        </w:rPr>
        <w:tab/>
      </w:r>
      <w:r w:rsidRPr="00791F7A">
        <w:rPr>
          <w:b/>
          <w:sz w:val="28"/>
          <w:szCs w:val="28"/>
          <w:lang w:val="uk-UA"/>
        </w:rPr>
        <w:tab/>
        <w:t xml:space="preserve">                 </w:t>
      </w:r>
      <w:r w:rsidRPr="00791F7A">
        <w:rPr>
          <w:b/>
          <w:sz w:val="28"/>
          <w:szCs w:val="28"/>
          <w:lang w:val="uk-UA"/>
        </w:rPr>
        <w:tab/>
      </w:r>
      <w:r w:rsidRPr="00791F7A">
        <w:rPr>
          <w:b/>
          <w:sz w:val="28"/>
          <w:szCs w:val="28"/>
          <w:lang w:val="uk-UA"/>
        </w:rPr>
        <w:tab/>
        <w:t xml:space="preserve">        Манолій ПІЦУРЯК</w:t>
      </w:r>
    </w:p>
    <w:p w:rsidR="00F15D0F" w:rsidRDefault="00F15D0F" w:rsidP="00F15D0F">
      <w:pPr>
        <w:rPr>
          <w:b/>
          <w:sz w:val="28"/>
          <w:szCs w:val="28"/>
          <w:lang w:val="uk-UA"/>
        </w:rPr>
      </w:pPr>
    </w:p>
    <w:p w:rsidR="00F15D0F" w:rsidRDefault="00F15D0F" w:rsidP="00F15D0F">
      <w:pPr>
        <w:rPr>
          <w:b/>
          <w:sz w:val="28"/>
          <w:szCs w:val="28"/>
          <w:lang w:val="uk-UA"/>
        </w:rPr>
      </w:pPr>
    </w:p>
    <w:p w:rsidR="00F15D0F" w:rsidRDefault="00F15D0F" w:rsidP="00F15D0F">
      <w:pPr>
        <w:rPr>
          <w:b/>
          <w:sz w:val="28"/>
          <w:szCs w:val="28"/>
          <w:lang w:val="uk-UA"/>
        </w:rPr>
      </w:pPr>
    </w:p>
    <w:p w:rsidR="00F15D0F" w:rsidRDefault="00F15D0F" w:rsidP="00F15D0F">
      <w:pPr>
        <w:rPr>
          <w:b/>
          <w:sz w:val="28"/>
          <w:szCs w:val="28"/>
          <w:lang w:val="uk-UA"/>
        </w:rPr>
      </w:pPr>
    </w:p>
    <w:p w:rsidR="00F15D0F" w:rsidRDefault="00F15D0F" w:rsidP="00F15D0F">
      <w:pPr>
        <w:rPr>
          <w:b/>
          <w:sz w:val="28"/>
          <w:szCs w:val="28"/>
          <w:lang w:val="uk-UA"/>
        </w:rPr>
        <w:sectPr w:rsidR="00F15D0F" w:rsidSect="00DA4EA8">
          <w:footerReference w:type="even" r:id="rId10"/>
          <w:footerReference w:type="default" r:id="rId11"/>
          <w:pgSz w:w="11906" w:h="16838"/>
          <w:pgMar w:top="540" w:right="851" w:bottom="567" w:left="1701" w:header="709" w:footer="709" w:gutter="0"/>
          <w:cols w:space="708"/>
          <w:titlePg/>
          <w:docGrid w:linePitch="360"/>
        </w:sectPr>
      </w:pPr>
    </w:p>
    <w:tbl>
      <w:tblPr>
        <w:tblW w:w="12120" w:type="dxa"/>
        <w:tblInd w:w="93" w:type="dxa"/>
        <w:tblLook w:val="04A0" w:firstRow="1" w:lastRow="0" w:firstColumn="1" w:lastColumn="0" w:noHBand="0" w:noVBand="1"/>
      </w:tblPr>
      <w:tblGrid>
        <w:gridCol w:w="1230"/>
        <w:gridCol w:w="4300"/>
        <w:gridCol w:w="1660"/>
        <w:gridCol w:w="1660"/>
        <w:gridCol w:w="1660"/>
        <w:gridCol w:w="1660"/>
      </w:tblGrid>
      <w:tr w:rsidR="00F15D0F" w:rsidRPr="00086ED9" w:rsidTr="003D33A6">
        <w:trPr>
          <w:trHeight w:val="255"/>
        </w:trPr>
        <w:tc>
          <w:tcPr>
            <w:tcW w:w="118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430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166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166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Додаток 1</w:t>
            </w:r>
          </w:p>
        </w:tc>
        <w:tc>
          <w:tcPr>
            <w:tcW w:w="166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166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r>
      <w:tr w:rsidR="00F15D0F" w:rsidRPr="00086ED9" w:rsidTr="003D33A6">
        <w:trPr>
          <w:trHeight w:val="255"/>
        </w:trPr>
        <w:tc>
          <w:tcPr>
            <w:tcW w:w="118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430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166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3320" w:type="dxa"/>
            <w:gridSpan w:val="2"/>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до рішення селищної ради</w:t>
            </w:r>
          </w:p>
        </w:tc>
        <w:tc>
          <w:tcPr>
            <w:tcW w:w="166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r>
      <w:tr w:rsidR="00F15D0F" w:rsidRPr="00086ED9" w:rsidTr="003D33A6">
        <w:trPr>
          <w:trHeight w:val="255"/>
        </w:trPr>
        <w:tc>
          <w:tcPr>
            <w:tcW w:w="118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430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166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3320" w:type="dxa"/>
            <w:gridSpan w:val="2"/>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від  12.12.2023 р. №1547/29/2023</w:t>
            </w:r>
          </w:p>
        </w:tc>
        <w:tc>
          <w:tcPr>
            <w:tcW w:w="166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r>
      <w:tr w:rsidR="00F15D0F" w:rsidRPr="00086ED9" w:rsidTr="003D33A6">
        <w:trPr>
          <w:trHeight w:val="255"/>
        </w:trPr>
        <w:tc>
          <w:tcPr>
            <w:tcW w:w="118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430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166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166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166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166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r>
      <w:tr w:rsidR="00F15D0F" w:rsidRPr="00086ED9" w:rsidTr="003D33A6">
        <w:trPr>
          <w:trHeight w:val="510"/>
        </w:trPr>
        <w:tc>
          <w:tcPr>
            <w:tcW w:w="12120" w:type="dxa"/>
            <w:gridSpan w:val="6"/>
            <w:tcBorders>
              <w:top w:val="nil"/>
              <w:left w:val="nil"/>
              <w:bottom w:val="nil"/>
              <w:right w:val="nil"/>
            </w:tcBorders>
            <w:shd w:val="clear" w:color="auto" w:fill="auto"/>
            <w:noWrap/>
            <w:vAlign w:val="bottom"/>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 xml:space="preserve">Доходи </w:t>
            </w:r>
            <w:proofErr w:type="spellStart"/>
            <w:r w:rsidRPr="00086ED9">
              <w:rPr>
                <w:rFonts w:ascii="Calibri" w:hAnsi="Calibri" w:cs="Calibri"/>
                <w:b/>
                <w:bCs/>
                <w:color w:val="000000"/>
                <w:lang w:val="uk-UA" w:eastAsia="uk-UA"/>
              </w:rPr>
              <w:t>Солотвинського</w:t>
            </w:r>
            <w:proofErr w:type="spellEnd"/>
            <w:r w:rsidRPr="00086ED9">
              <w:rPr>
                <w:rFonts w:ascii="Calibri" w:hAnsi="Calibri" w:cs="Calibri"/>
                <w:b/>
                <w:bCs/>
                <w:color w:val="000000"/>
                <w:lang w:val="uk-UA" w:eastAsia="uk-UA"/>
              </w:rPr>
              <w:t xml:space="preserve"> селищного бюджету на 2024 рік</w:t>
            </w:r>
          </w:p>
        </w:tc>
      </w:tr>
      <w:tr w:rsidR="00F15D0F" w:rsidRPr="00086ED9" w:rsidTr="003D33A6">
        <w:trPr>
          <w:trHeight w:val="255"/>
        </w:trPr>
        <w:tc>
          <w:tcPr>
            <w:tcW w:w="1180" w:type="dxa"/>
            <w:tcBorders>
              <w:top w:val="nil"/>
              <w:left w:val="nil"/>
              <w:bottom w:val="nil"/>
              <w:right w:val="nil"/>
            </w:tcBorders>
            <w:shd w:val="clear" w:color="auto" w:fill="auto"/>
            <w:noWrap/>
            <w:vAlign w:val="bottom"/>
            <w:hideMark/>
          </w:tcPr>
          <w:p w:rsidR="00F15D0F" w:rsidRPr="00086ED9" w:rsidRDefault="00F15D0F" w:rsidP="003D33A6">
            <w:pPr>
              <w:autoSpaceDE/>
              <w:autoSpaceDN/>
              <w:jc w:val="center"/>
              <w:rPr>
                <w:rFonts w:ascii="Calibri" w:hAnsi="Calibri" w:cs="Calibri"/>
                <w:b/>
                <w:bCs/>
                <w:color w:val="000000"/>
                <w:u w:val="single"/>
                <w:lang w:val="uk-UA" w:eastAsia="uk-UA"/>
              </w:rPr>
            </w:pPr>
            <w:r w:rsidRPr="00086ED9">
              <w:rPr>
                <w:rFonts w:ascii="Calibri" w:hAnsi="Calibri" w:cs="Calibri"/>
                <w:b/>
                <w:bCs/>
                <w:color w:val="000000"/>
                <w:u w:val="single"/>
                <w:lang w:val="uk-UA" w:eastAsia="uk-UA"/>
              </w:rPr>
              <w:t>0956000000</w:t>
            </w:r>
          </w:p>
        </w:tc>
        <w:tc>
          <w:tcPr>
            <w:tcW w:w="430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166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166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166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166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r>
      <w:tr w:rsidR="00F15D0F" w:rsidRPr="00086ED9" w:rsidTr="003D33A6">
        <w:trPr>
          <w:trHeight w:val="255"/>
        </w:trPr>
        <w:tc>
          <w:tcPr>
            <w:tcW w:w="5480" w:type="dxa"/>
            <w:gridSpan w:val="2"/>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(код бюджету)</w:t>
            </w:r>
          </w:p>
        </w:tc>
        <w:tc>
          <w:tcPr>
            <w:tcW w:w="166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166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166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1660" w:type="dxa"/>
            <w:tcBorders>
              <w:top w:val="nil"/>
              <w:left w:val="nil"/>
              <w:bottom w:val="nil"/>
              <w:right w:val="nil"/>
            </w:tcBorders>
            <w:shd w:val="clear" w:color="auto" w:fill="auto"/>
            <w:noWrap/>
            <w:vAlign w:val="bottom"/>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roofErr w:type="spellStart"/>
            <w:r w:rsidRPr="00086ED9">
              <w:rPr>
                <w:rFonts w:ascii="Calibri" w:hAnsi="Calibri" w:cs="Calibri"/>
                <w:color w:val="000000"/>
                <w:lang w:val="uk-UA" w:eastAsia="uk-UA"/>
              </w:rPr>
              <w:t>грн</w:t>
            </w:r>
            <w:proofErr w:type="spellEnd"/>
            <w:r w:rsidRPr="00086ED9">
              <w:rPr>
                <w:rFonts w:ascii="Calibri" w:hAnsi="Calibri" w:cs="Calibri"/>
                <w:color w:val="000000"/>
                <w:lang w:val="uk-UA" w:eastAsia="uk-UA"/>
              </w:rPr>
              <w:t>)</w:t>
            </w:r>
          </w:p>
        </w:tc>
      </w:tr>
      <w:tr w:rsidR="00F15D0F" w:rsidRPr="00086ED9" w:rsidTr="003D33A6">
        <w:trPr>
          <w:trHeight w:val="255"/>
        </w:trPr>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Код</w:t>
            </w:r>
          </w:p>
        </w:tc>
        <w:tc>
          <w:tcPr>
            <w:tcW w:w="4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Найменування згідно з Класифікацією доходів бюджету</w:t>
            </w:r>
          </w:p>
        </w:tc>
        <w:tc>
          <w:tcPr>
            <w:tcW w:w="166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Усього</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Загальний фонд</w:t>
            </w:r>
          </w:p>
        </w:tc>
        <w:tc>
          <w:tcPr>
            <w:tcW w:w="3320" w:type="dxa"/>
            <w:gridSpan w:val="2"/>
            <w:tcBorders>
              <w:top w:val="single" w:sz="4" w:space="0" w:color="auto"/>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Спеціальний фонд</w:t>
            </w:r>
          </w:p>
        </w:tc>
      </w:tr>
      <w:tr w:rsidR="00F15D0F" w:rsidRPr="00086ED9" w:rsidTr="003D33A6">
        <w:trPr>
          <w:trHeight w:val="255"/>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F15D0F" w:rsidRPr="00086ED9" w:rsidRDefault="00F15D0F" w:rsidP="003D33A6">
            <w:pPr>
              <w:autoSpaceDE/>
              <w:autoSpaceDN/>
              <w:rPr>
                <w:rFonts w:ascii="Calibri" w:hAnsi="Calibri" w:cs="Calibri"/>
                <w:color w:val="000000"/>
                <w:lang w:val="uk-UA" w:eastAsia="uk-UA"/>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rsidR="00F15D0F" w:rsidRPr="00086ED9" w:rsidRDefault="00F15D0F" w:rsidP="003D33A6">
            <w:pPr>
              <w:autoSpaceDE/>
              <w:autoSpaceDN/>
              <w:rPr>
                <w:rFonts w:ascii="Calibri" w:hAnsi="Calibri" w:cs="Calibri"/>
                <w:color w:val="000000"/>
                <w:lang w:val="uk-UA" w:eastAsia="uk-UA"/>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F15D0F" w:rsidRPr="00086ED9" w:rsidRDefault="00F15D0F" w:rsidP="003D33A6">
            <w:pPr>
              <w:autoSpaceDE/>
              <w:autoSpaceDN/>
              <w:rPr>
                <w:rFonts w:ascii="Calibri" w:hAnsi="Calibri" w:cs="Calibri"/>
                <w:color w:val="000000"/>
                <w:lang w:val="uk-UA" w:eastAsia="uk-UA"/>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F15D0F" w:rsidRPr="00086ED9" w:rsidRDefault="00F15D0F" w:rsidP="003D33A6">
            <w:pPr>
              <w:autoSpaceDE/>
              <w:autoSpaceDN/>
              <w:rPr>
                <w:rFonts w:ascii="Calibri" w:hAnsi="Calibri" w:cs="Calibri"/>
                <w:color w:val="000000"/>
                <w:lang w:val="uk-UA" w:eastAsia="uk-UA"/>
              </w:rPr>
            </w:pP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усього</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sz w:val="18"/>
                <w:szCs w:val="18"/>
                <w:lang w:val="uk-UA" w:eastAsia="uk-UA"/>
              </w:rPr>
            </w:pPr>
            <w:r w:rsidRPr="00086ED9">
              <w:rPr>
                <w:rFonts w:ascii="Calibri" w:hAnsi="Calibri" w:cs="Calibri"/>
                <w:color w:val="000000"/>
                <w:sz w:val="18"/>
                <w:szCs w:val="18"/>
                <w:lang w:val="uk-UA" w:eastAsia="uk-UA"/>
              </w:rPr>
              <w:t>у тому числі бюджет розвитку</w:t>
            </w:r>
          </w:p>
        </w:tc>
      </w:tr>
      <w:tr w:rsidR="00F15D0F" w:rsidRPr="00086ED9" w:rsidTr="003D33A6">
        <w:trPr>
          <w:trHeight w:val="255"/>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F15D0F" w:rsidRPr="00086ED9" w:rsidRDefault="00F15D0F" w:rsidP="003D33A6">
            <w:pPr>
              <w:autoSpaceDE/>
              <w:autoSpaceDN/>
              <w:rPr>
                <w:rFonts w:ascii="Calibri" w:hAnsi="Calibri" w:cs="Calibri"/>
                <w:color w:val="000000"/>
                <w:lang w:val="uk-UA" w:eastAsia="uk-UA"/>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rsidR="00F15D0F" w:rsidRPr="00086ED9" w:rsidRDefault="00F15D0F" w:rsidP="003D33A6">
            <w:pPr>
              <w:autoSpaceDE/>
              <w:autoSpaceDN/>
              <w:rPr>
                <w:rFonts w:ascii="Calibri" w:hAnsi="Calibri" w:cs="Calibri"/>
                <w:color w:val="000000"/>
                <w:lang w:val="uk-UA" w:eastAsia="uk-UA"/>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F15D0F" w:rsidRPr="00086ED9" w:rsidRDefault="00F15D0F" w:rsidP="003D33A6">
            <w:pPr>
              <w:autoSpaceDE/>
              <w:autoSpaceDN/>
              <w:rPr>
                <w:rFonts w:ascii="Calibri" w:hAnsi="Calibri" w:cs="Calibri"/>
                <w:color w:val="000000"/>
                <w:lang w:val="uk-UA" w:eastAsia="uk-UA"/>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F15D0F" w:rsidRPr="00086ED9" w:rsidRDefault="00F15D0F" w:rsidP="003D33A6">
            <w:pPr>
              <w:autoSpaceDE/>
              <w:autoSpaceDN/>
              <w:rPr>
                <w:rFonts w:ascii="Calibri" w:hAnsi="Calibri" w:cs="Calibri"/>
                <w:color w:val="000000"/>
                <w:lang w:val="uk-UA" w:eastAsia="uk-UA"/>
              </w:rPr>
            </w:pPr>
          </w:p>
        </w:tc>
        <w:tc>
          <w:tcPr>
            <w:tcW w:w="1660" w:type="dxa"/>
            <w:vMerge/>
            <w:tcBorders>
              <w:top w:val="nil"/>
              <w:left w:val="single" w:sz="4" w:space="0" w:color="auto"/>
              <w:bottom w:val="single" w:sz="4" w:space="0" w:color="auto"/>
              <w:right w:val="single" w:sz="4" w:space="0" w:color="auto"/>
            </w:tcBorders>
            <w:vAlign w:val="center"/>
            <w:hideMark/>
          </w:tcPr>
          <w:p w:rsidR="00F15D0F" w:rsidRPr="00086ED9" w:rsidRDefault="00F15D0F" w:rsidP="003D33A6">
            <w:pPr>
              <w:autoSpaceDE/>
              <w:autoSpaceDN/>
              <w:rPr>
                <w:rFonts w:ascii="Calibri" w:hAnsi="Calibri" w:cs="Calibri"/>
                <w:color w:val="000000"/>
                <w:lang w:val="uk-UA" w:eastAsia="uk-UA"/>
              </w:rPr>
            </w:pPr>
          </w:p>
        </w:tc>
        <w:tc>
          <w:tcPr>
            <w:tcW w:w="1660" w:type="dxa"/>
            <w:vMerge/>
            <w:tcBorders>
              <w:top w:val="nil"/>
              <w:left w:val="single" w:sz="4" w:space="0" w:color="auto"/>
              <w:bottom w:val="single" w:sz="4" w:space="0" w:color="auto"/>
              <w:right w:val="single" w:sz="4" w:space="0" w:color="auto"/>
            </w:tcBorders>
            <w:vAlign w:val="center"/>
            <w:hideMark/>
          </w:tcPr>
          <w:p w:rsidR="00F15D0F" w:rsidRPr="00086ED9" w:rsidRDefault="00F15D0F" w:rsidP="003D33A6">
            <w:pPr>
              <w:autoSpaceDE/>
              <w:autoSpaceDN/>
              <w:rPr>
                <w:rFonts w:ascii="Calibri" w:hAnsi="Calibri" w:cs="Calibri"/>
                <w:color w:val="000000"/>
                <w:sz w:val="18"/>
                <w:szCs w:val="18"/>
                <w:lang w:val="uk-UA" w:eastAsia="uk-UA"/>
              </w:rPr>
            </w:pPr>
          </w:p>
        </w:tc>
      </w:tr>
      <w:tr w:rsidR="00F15D0F" w:rsidRPr="00086ED9" w:rsidTr="003D33A6">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1</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2</w:t>
            </w:r>
          </w:p>
        </w:tc>
        <w:tc>
          <w:tcPr>
            <w:tcW w:w="1660" w:type="dxa"/>
            <w:tcBorders>
              <w:top w:val="nil"/>
              <w:left w:val="nil"/>
              <w:bottom w:val="single" w:sz="4" w:space="0" w:color="auto"/>
              <w:right w:val="single" w:sz="4" w:space="0" w:color="auto"/>
            </w:tcBorders>
            <w:shd w:val="clear" w:color="000000" w:fill="CCFFFF"/>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3</w:t>
            </w:r>
          </w:p>
        </w:tc>
        <w:tc>
          <w:tcPr>
            <w:tcW w:w="166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4</w:t>
            </w:r>
          </w:p>
        </w:tc>
        <w:tc>
          <w:tcPr>
            <w:tcW w:w="166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5</w:t>
            </w:r>
          </w:p>
        </w:tc>
        <w:tc>
          <w:tcPr>
            <w:tcW w:w="166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6</w:t>
            </w:r>
          </w:p>
        </w:tc>
      </w:tr>
      <w:tr w:rsidR="00F15D0F" w:rsidRPr="00086ED9" w:rsidTr="003D33A6">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10000000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Податкові надходження</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55 109 000,00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55 109 000,00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11000000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Податки на доходи, податки на прибуток, податки на збільшення ринкової вартості</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32 257 000,00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32 257 000,00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11010000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Податок та збір на доходи фізичних осіб</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32 257 000,00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32 257 000,00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76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11010100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30 457 000,00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30 457 000,00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76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11010400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Податок на доходи фізичних осіб, що сплачується податковими агентами, із доходів платника податку інших ніж заробітна плата</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1 400 000,00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1 400 000,00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76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11010500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Податок на доходи фізичних осіб, що сплачується фізичними особами за результатами річного декларування</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400 000,00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400 000,00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13000000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Рентна плата та плата за використання інших природних ресурсів</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8 011 000,00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8 011 000,00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13010000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Рентна плата за спеціальне використання лісових ресурсів</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1 431 000,00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1 431 000,00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102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13010100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Рентна плата за спеціальне використання лісових ресурсів в частині деревини, заготовленої в порядку рубок головного користування</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80 000,00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80 000,00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12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lastRenderedPageBreak/>
              <w:t>13010200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1 351 000,00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1 351 000,00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13030000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Рентна плата за користування надрами загальнодержавного значення</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6 580 000,00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6 580 000,00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13030700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Рентна плата за користування надрами для видобування нафти</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200 000,00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200 000,00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13030800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Рентна плата за користування надрами для видобування природного газу</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6 300 000,00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6 300 000,00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13030900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Рентна плата за користування надрами для видобування газового конденсату</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80 000,00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80 000,00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14000000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Внутрішні податки на товари та послуги</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850 000,00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850 000,00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14020000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Акцизний податок з вироблених в Україні підакцизних товарів (продукції)</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50 000,00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50 000,00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14021900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Пальне</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50 000,00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50 000,00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76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14030000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Акцизний податок з ввезених на митну територію України підакцизних товарів (продукції)</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200 000,00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200 000,00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14031900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Пальне</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200 000,00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200 000,00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76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14040000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Акцизний податок з реалізації суб`єктами господарювання роздрібної торгівлі підакцизних товарів</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600 000,00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600 000,00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204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14040100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100 000,00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100 000,00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153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lastRenderedPageBreak/>
              <w:t>14040200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500 000,00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500 000,00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76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18000000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Місцеві податки та збори, що сплачуються (перераховуються) згідно з Податковим кодексом України</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13 991 000,00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13 991 000,00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18010000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Податок на майно</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3 641 000,00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3 641 000,00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102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18010100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Податок на нерухоме майно, відмінне від земельної ділянки, сплачений юридичними особами, які є власниками об`єктів житлової нерухомості</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5 000,00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5 000,00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102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18010200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50 000,00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50 000,00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102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18010300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50 000,00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50 000,00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102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18010400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200 000,00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200 000,00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18010500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Земельний податок з юридичних осіб</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890 000,00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890 000,00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18010600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Орендна плата з юридичних осіб</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1 254 000,00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1 254 000,00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18010700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Земельний податок з фізичних осіб</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766 000,00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766 000,00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18010900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Орендна плата з фізичних осіб</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426 000,00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426 000,00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18030000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Туристичний збір</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40 000,00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40 000,00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18030100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Туристичний збір, сплачений юридичними особами</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40 000,00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40 000,00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18050000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Єдиний податок</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10 310 000,00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10 310 000,00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18050300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Єдиний податок з юридичних осіб</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265 000,00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265 000,00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18050400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Єдиний податок з фізичних осіб</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10 000 000,00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10 000 000,00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12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lastRenderedPageBreak/>
              <w:t>18050500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 xml:space="preserve">Єдиний податок з сільськогосподарських товаровиробників, у яких частка сільськогосподарського </w:t>
            </w:r>
            <w:proofErr w:type="spellStart"/>
            <w:r w:rsidRPr="00086ED9">
              <w:rPr>
                <w:rFonts w:ascii="Calibri" w:hAnsi="Calibri" w:cs="Calibri"/>
                <w:color w:val="000000"/>
                <w:lang w:val="uk-UA" w:eastAsia="uk-UA"/>
              </w:rPr>
              <w:t>товаровиробництва</w:t>
            </w:r>
            <w:proofErr w:type="spellEnd"/>
            <w:r w:rsidRPr="00086ED9">
              <w:rPr>
                <w:rFonts w:ascii="Calibri" w:hAnsi="Calibri" w:cs="Calibri"/>
                <w:color w:val="000000"/>
                <w:lang w:val="uk-UA" w:eastAsia="uk-UA"/>
              </w:rPr>
              <w:t xml:space="preserve"> за попередній податковий (звітний) рік дорівнює або перевищує 75 відсотків</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45 000,00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45 000,00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20000000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Неподаткові надходження</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1 661 625,00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170 000,00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1 491 625,00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21000000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Доходи від власності та підприємницької діяльності</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60 000,00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60 000,00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21080000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Інші надходження</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60 000,00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60 000,00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102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21081700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Плата за встановлення земельного сервітуту, за надання права користування земельною ділянкою для сільськогосподарських потреб (емфітевзис), для забудови (</w:t>
            </w:r>
            <w:proofErr w:type="spellStart"/>
            <w:r w:rsidRPr="00086ED9">
              <w:rPr>
                <w:rFonts w:ascii="Calibri" w:hAnsi="Calibri" w:cs="Calibri"/>
                <w:color w:val="000000"/>
                <w:lang w:val="uk-UA" w:eastAsia="uk-UA"/>
              </w:rPr>
              <w:t>суперфіцій</w:t>
            </w:r>
            <w:proofErr w:type="spellEnd"/>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60 000,00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60 000,00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22000000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Адміністративні збори та платежі, доходи від некомерційної господарської діяльності</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110 000,00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110 000,00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22010000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Плата за надання адміністративних послуг</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30 000,00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30 000,00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22012500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Плата за надання інших адміністративних послуг</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30 000,00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30 000,00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76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22080000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Надходження від орендної плати за користування цілісним майновим комплексом та іншим державним майном</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80 000,00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80 000,00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76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22080400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Надходження від орендної плати за користування майновим комплексом та іншим майном, що перебуває в комунальній власності</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80 000,00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80 000,00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25000000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Власні надходження бюджетних установ</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1 491 625,00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1 491 625,00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76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25010000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Надходження від плати за послуги, що надаються бюджетними установами згідно із законодавством</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1 491 625,00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1 491 625,00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25010100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Плата за послуги, що надаються бюджетними установами згідно з їх основною діяльністю</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1 274 125,00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1 274 125,00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102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25010300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 xml:space="preserve">Плата за оренду майна бюджетних установ, що здійснюється відповідно до Закону України `Про оренду державного та комунального </w:t>
            </w:r>
            <w:proofErr w:type="spellStart"/>
            <w:r w:rsidRPr="00086ED9">
              <w:rPr>
                <w:rFonts w:ascii="Calibri" w:hAnsi="Calibri" w:cs="Calibri"/>
                <w:color w:val="000000"/>
                <w:lang w:val="uk-UA" w:eastAsia="uk-UA"/>
              </w:rPr>
              <w:t>майна`</w:t>
            </w:r>
            <w:proofErr w:type="spellEnd"/>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215 650,00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215 650,00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76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lastRenderedPageBreak/>
              <w:t>25010400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Надходження бюджетних установ від реалізації в установленому порядку майна (крім нерухомого майна)</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1 850,00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1 850,00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510"/>
        </w:trPr>
        <w:tc>
          <w:tcPr>
            <w:tcW w:w="1180" w:type="dxa"/>
            <w:tcBorders>
              <w:top w:val="nil"/>
              <w:left w:val="single" w:sz="4" w:space="0" w:color="auto"/>
              <w:bottom w:val="single" w:sz="4" w:space="0" w:color="auto"/>
              <w:right w:val="single" w:sz="4" w:space="0" w:color="auto"/>
            </w:tcBorders>
            <w:shd w:val="clear" w:color="000000" w:fill="CCFFFF"/>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 </w:t>
            </w:r>
          </w:p>
        </w:tc>
        <w:tc>
          <w:tcPr>
            <w:tcW w:w="4300" w:type="dxa"/>
            <w:tcBorders>
              <w:top w:val="nil"/>
              <w:left w:val="nil"/>
              <w:bottom w:val="single" w:sz="4" w:space="0" w:color="auto"/>
              <w:right w:val="single" w:sz="4" w:space="0" w:color="auto"/>
            </w:tcBorders>
            <w:shd w:val="clear" w:color="000000" w:fill="CCFFFF"/>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Усього доходів (без урахування міжбюджетних трансфертів)</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56 770 625,00</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55 279 000,00</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1 491 625,00</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40000000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Офіційні трансферти</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185 647 930,00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185 647 930,00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41000000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Від органів державного управління</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185 647 930,00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185 647 930,00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41020000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Дотації з державного бюджету місцевим бюджетам</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52 044 500,00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52 044 500,00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41020100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Базова дотація</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52 044 500,00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52 044 500,00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41030000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Субвенції з державного бюджету місцевим бюджетам</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128 707 400,00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128 707 400,00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41033900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Освітня субвенція з державного бюджету місцевим бюджетам</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128 707 400,00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128 707 400,00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41040000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Дотації з місцевих бюджетів іншим місцевим бюджетам</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2 680 000,00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2 680 000,00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127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41040200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2 680 000,00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2 680 000,00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41050000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Субвенції з місцевих бюджетів іншим місцевим бюджетам</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2 216 030,00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2 216 030,00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76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41051000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Субвенція з місцевого бюджету на здійснення переданих видатків у сфері освіти за рахунок коштів освітньої субвенції</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2 204 600,00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2 204 600,00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15D0F" w:rsidRPr="00086ED9" w:rsidRDefault="00F15D0F" w:rsidP="003D33A6">
            <w:pPr>
              <w:autoSpaceDE/>
              <w:autoSpaceDN/>
              <w:jc w:val="center"/>
              <w:rPr>
                <w:rFonts w:ascii="Calibri" w:hAnsi="Calibri" w:cs="Calibri"/>
                <w:color w:val="000000"/>
                <w:lang w:val="uk-UA" w:eastAsia="uk-UA"/>
              </w:rPr>
            </w:pPr>
            <w:r w:rsidRPr="00086ED9">
              <w:rPr>
                <w:rFonts w:ascii="Calibri" w:hAnsi="Calibri" w:cs="Calibri"/>
                <w:color w:val="000000"/>
                <w:lang w:val="uk-UA" w:eastAsia="uk-UA"/>
              </w:rPr>
              <w:t>41053900</w:t>
            </w:r>
          </w:p>
        </w:tc>
        <w:tc>
          <w:tcPr>
            <w:tcW w:w="4300" w:type="dxa"/>
            <w:tcBorders>
              <w:top w:val="nil"/>
              <w:left w:val="nil"/>
              <w:bottom w:val="single" w:sz="4" w:space="0" w:color="auto"/>
              <w:right w:val="single" w:sz="4" w:space="0" w:color="auto"/>
            </w:tcBorders>
            <w:shd w:val="clear" w:color="auto" w:fill="auto"/>
            <w:vAlign w:val="center"/>
            <w:hideMark/>
          </w:tcPr>
          <w:p w:rsidR="00F15D0F" w:rsidRPr="00086ED9" w:rsidRDefault="00F15D0F" w:rsidP="003D33A6">
            <w:pPr>
              <w:autoSpaceDE/>
              <w:autoSpaceDN/>
              <w:rPr>
                <w:rFonts w:ascii="Calibri" w:hAnsi="Calibri" w:cs="Calibri"/>
                <w:color w:val="000000"/>
                <w:lang w:val="uk-UA" w:eastAsia="uk-UA"/>
              </w:rPr>
            </w:pPr>
            <w:r w:rsidRPr="00086ED9">
              <w:rPr>
                <w:rFonts w:ascii="Calibri" w:hAnsi="Calibri" w:cs="Calibri"/>
                <w:color w:val="000000"/>
                <w:lang w:val="uk-UA" w:eastAsia="uk-UA"/>
              </w:rPr>
              <w:t>Інші субвенції з місцевого бюджету</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11 430,00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11 430,00</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c>
          <w:tcPr>
            <w:tcW w:w="1660" w:type="dxa"/>
            <w:tcBorders>
              <w:top w:val="nil"/>
              <w:left w:val="nil"/>
              <w:bottom w:val="single" w:sz="4" w:space="0" w:color="auto"/>
              <w:right w:val="single" w:sz="4" w:space="0" w:color="auto"/>
            </w:tcBorders>
            <w:shd w:val="clear" w:color="auto" w:fill="auto"/>
            <w:noWrap/>
            <w:vAlign w:val="center"/>
            <w:hideMark/>
          </w:tcPr>
          <w:p w:rsidR="00F15D0F" w:rsidRPr="00086ED9" w:rsidRDefault="00F15D0F" w:rsidP="003D33A6">
            <w:pPr>
              <w:autoSpaceDE/>
              <w:autoSpaceDN/>
              <w:jc w:val="right"/>
              <w:rPr>
                <w:rFonts w:ascii="Calibri" w:hAnsi="Calibri" w:cs="Calibri"/>
                <w:color w:val="000000"/>
                <w:lang w:val="uk-UA" w:eastAsia="uk-UA"/>
              </w:rPr>
            </w:pPr>
            <w:r w:rsidRPr="00086ED9">
              <w:rPr>
                <w:rFonts w:ascii="Calibri" w:hAnsi="Calibri" w:cs="Calibri"/>
                <w:color w:val="000000"/>
                <w:lang w:val="uk-UA" w:eastAsia="uk-UA"/>
              </w:rPr>
              <w:t>-</w:t>
            </w:r>
          </w:p>
        </w:tc>
      </w:tr>
      <w:tr w:rsidR="00F15D0F" w:rsidRPr="00086ED9" w:rsidTr="003D33A6">
        <w:trPr>
          <w:trHeight w:val="255"/>
        </w:trPr>
        <w:tc>
          <w:tcPr>
            <w:tcW w:w="1180" w:type="dxa"/>
            <w:tcBorders>
              <w:top w:val="nil"/>
              <w:left w:val="single" w:sz="4" w:space="0" w:color="auto"/>
              <w:bottom w:val="single" w:sz="4" w:space="0" w:color="auto"/>
              <w:right w:val="single" w:sz="4" w:space="0" w:color="auto"/>
            </w:tcBorders>
            <w:shd w:val="clear" w:color="000000" w:fill="CCFFFF"/>
            <w:vAlign w:val="center"/>
            <w:hideMark/>
          </w:tcPr>
          <w:p w:rsidR="00F15D0F" w:rsidRPr="00086ED9" w:rsidRDefault="00F15D0F" w:rsidP="003D33A6">
            <w:pPr>
              <w:autoSpaceDE/>
              <w:autoSpaceDN/>
              <w:jc w:val="center"/>
              <w:rPr>
                <w:rFonts w:ascii="Calibri" w:hAnsi="Calibri" w:cs="Calibri"/>
                <w:b/>
                <w:bCs/>
                <w:color w:val="000000"/>
                <w:lang w:val="uk-UA" w:eastAsia="uk-UA"/>
              </w:rPr>
            </w:pPr>
            <w:r w:rsidRPr="00086ED9">
              <w:rPr>
                <w:rFonts w:ascii="Calibri" w:hAnsi="Calibri" w:cs="Calibri"/>
                <w:b/>
                <w:bCs/>
                <w:color w:val="000000"/>
                <w:lang w:val="uk-UA" w:eastAsia="uk-UA"/>
              </w:rPr>
              <w:t>X</w:t>
            </w:r>
          </w:p>
        </w:tc>
        <w:tc>
          <w:tcPr>
            <w:tcW w:w="4300" w:type="dxa"/>
            <w:tcBorders>
              <w:top w:val="nil"/>
              <w:left w:val="nil"/>
              <w:bottom w:val="single" w:sz="4" w:space="0" w:color="auto"/>
              <w:right w:val="single" w:sz="4" w:space="0" w:color="auto"/>
            </w:tcBorders>
            <w:shd w:val="clear" w:color="000000" w:fill="CCFFFF"/>
            <w:vAlign w:val="center"/>
            <w:hideMark/>
          </w:tcPr>
          <w:p w:rsidR="00F15D0F" w:rsidRPr="00086ED9" w:rsidRDefault="00F15D0F" w:rsidP="003D33A6">
            <w:pPr>
              <w:autoSpaceDE/>
              <w:autoSpaceDN/>
              <w:rPr>
                <w:rFonts w:ascii="Calibri" w:hAnsi="Calibri" w:cs="Calibri"/>
                <w:b/>
                <w:bCs/>
                <w:color w:val="000000"/>
                <w:lang w:val="uk-UA" w:eastAsia="uk-UA"/>
              </w:rPr>
            </w:pPr>
            <w:r w:rsidRPr="00086ED9">
              <w:rPr>
                <w:rFonts w:ascii="Calibri" w:hAnsi="Calibri" w:cs="Calibri"/>
                <w:b/>
                <w:bCs/>
                <w:color w:val="000000"/>
                <w:lang w:val="uk-UA" w:eastAsia="uk-UA"/>
              </w:rPr>
              <w:t>Разом доходів</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242 418 555,00</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240 926 930,00</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1 491 625,00</w:t>
            </w:r>
          </w:p>
        </w:tc>
        <w:tc>
          <w:tcPr>
            <w:tcW w:w="1660" w:type="dxa"/>
            <w:tcBorders>
              <w:top w:val="nil"/>
              <w:left w:val="nil"/>
              <w:bottom w:val="single" w:sz="4" w:space="0" w:color="auto"/>
              <w:right w:val="single" w:sz="4" w:space="0" w:color="auto"/>
            </w:tcBorders>
            <w:shd w:val="clear" w:color="000000" w:fill="CCFFFF"/>
            <w:noWrap/>
            <w:vAlign w:val="center"/>
            <w:hideMark/>
          </w:tcPr>
          <w:p w:rsidR="00F15D0F" w:rsidRPr="00086ED9" w:rsidRDefault="00F15D0F" w:rsidP="003D33A6">
            <w:pPr>
              <w:autoSpaceDE/>
              <w:autoSpaceDN/>
              <w:jc w:val="right"/>
              <w:rPr>
                <w:rFonts w:ascii="Calibri" w:hAnsi="Calibri" w:cs="Calibri"/>
                <w:b/>
                <w:bCs/>
                <w:color w:val="000000"/>
                <w:lang w:val="uk-UA" w:eastAsia="uk-UA"/>
              </w:rPr>
            </w:pPr>
            <w:r w:rsidRPr="00086ED9">
              <w:rPr>
                <w:rFonts w:ascii="Calibri" w:hAnsi="Calibri" w:cs="Calibri"/>
                <w:b/>
                <w:bCs/>
                <w:color w:val="000000"/>
                <w:lang w:val="uk-UA" w:eastAsia="uk-UA"/>
              </w:rPr>
              <w:t>-</w:t>
            </w:r>
          </w:p>
        </w:tc>
      </w:tr>
      <w:tr w:rsidR="00F15D0F" w:rsidRPr="00086ED9" w:rsidTr="003D33A6">
        <w:trPr>
          <w:trHeight w:val="255"/>
        </w:trPr>
        <w:tc>
          <w:tcPr>
            <w:tcW w:w="118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430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166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166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166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c>
          <w:tcPr>
            <w:tcW w:w="1660" w:type="dxa"/>
            <w:tcBorders>
              <w:top w:val="nil"/>
              <w:left w:val="nil"/>
              <w:bottom w:val="nil"/>
              <w:right w:val="nil"/>
            </w:tcBorders>
            <w:shd w:val="clear" w:color="auto" w:fill="auto"/>
            <w:noWrap/>
            <w:vAlign w:val="bottom"/>
            <w:hideMark/>
          </w:tcPr>
          <w:p w:rsidR="00F15D0F" w:rsidRPr="00086ED9" w:rsidRDefault="00F15D0F" w:rsidP="003D33A6">
            <w:pPr>
              <w:autoSpaceDE/>
              <w:autoSpaceDN/>
              <w:rPr>
                <w:rFonts w:ascii="Calibri" w:hAnsi="Calibri" w:cs="Calibri"/>
                <w:color w:val="000000"/>
                <w:lang w:val="uk-UA" w:eastAsia="uk-UA"/>
              </w:rPr>
            </w:pPr>
          </w:p>
        </w:tc>
      </w:tr>
      <w:tr w:rsidR="00F15D0F" w:rsidRPr="00086ED9" w:rsidTr="003D33A6">
        <w:trPr>
          <w:trHeight w:val="255"/>
        </w:trPr>
        <w:tc>
          <w:tcPr>
            <w:tcW w:w="12120" w:type="dxa"/>
            <w:gridSpan w:val="6"/>
            <w:tcBorders>
              <w:top w:val="nil"/>
              <w:left w:val="nil"/>
              <w:bottom w:val="nil"/>
              <w:right w:val="nil"/>
            </w:tcBorders>
            <w:shd w:val="clear" w:color="auto" w:fill="auto"/>
            <w:noWrap/>
            <w:vAlign w:val="bottom"/>
            <w:hideMark/>
          </w:tcPr>
          <w:p w:rsidR="00F15D0F" w:rsidRPr="00086ED9" w:rsidRDefault="00F15D0F" w:rsidP="003D33A6">
            <w:pPr>
              <w:autoSpaceDE/>
              <w:autoSpaceDN/>
              <w:jc w:val="center"/>
              <w:rPr>
                <w:rFonts w:ascii="Calibri" w:hAnsi="Calibri" w:cs="Calibri"/>
                <w:b/>
                <w:bCs/>
                <w:i/>
                <w:iCs/>
                <w:color w:val="000000"/>
                <w:lang w:val="uk-UA" w:eastAsia="uk-UA"/>
              </w:rPr>
            </w:pPr>
            <w:r w:rsidRPr="00086ED9">
              <w:rPr>
                <w:rFonts w:ascii="Calibri" w:hAnsi="Calibri" w:cs="Calibri"/>
                <w:b/>
                <w:bCs/>
                <w:i/>
                <w:iCs/>
                <w:color w:val="000000"/>
                <w:lang w:val="uk-UA" w:eastAsia="uk-UA"/>
              </w:rPr>
              <w:t>Заступник селищного голови з питань діяльності виконавчих органів влади                                                                    Юрій ІВАНИШИН</w:t>
            </w:r>
          </w:p>
        </w:tc>
      </w:tr>
    </w:tbl>
    <w:p w:rsidR="00F15D0F" w:rsidRDefault="00F15D0F" w:rsidP="00F15D0F">
      <w:pPr>
        <w:rPr>
          <w:b/>
          <w:sz w:val="28"/>
          <w:szCs w:val="28"/>
          <w:lang w:val="uk-UA"/>
        </w:rPr>
      </w:pPr>
    </w:p>
    <w:p w:rsidR="00F15D0F" w:rsidRDefault="00F15D0F" w:rsidP="00F15D0F">
      <w:pPr>
        <w:rPr>
          <w:b/>
          <w:sz w:val="28"/>
          <w:szCs w:val="28"/>
          <w:lang w:val="uk-UA"/>
        </w:rPr>
      </w:pPr>
    </w:p>
    <w:p w:rsidR="00F15D0F" w:rsidRDefault="00F15D0F" w:rsidP="00F15D0F">
      <w:pPr>
        <w:rPr>
          <w:b/>
          <w:sz w:val="28"/>
          <w:szCs w:val="28"/>
          <w:lang w:val="uk-UA"/>
        </w:rPr>
      </w:pPr>
    </w:p>
    <w:p w:rsidR="00F15D0F" w:rsidRDefault="00F15D0F" w:rsidP="00F15D0F">
      <w:pPr>
        <w:rPr>
          <w:b/>
          <w:sz w:val="28"/>
          <w:szCs w:val="28"/>
          <w:lang w:val="uk-UA"/>
        </w:rPr>
      </w:pPr>
    </w:p>
    <w:p w:rsidR="00F15D0F" w:rsidRDefault="00F15D0F" w:rsidP="00F15D0F">
      <w:pPr>
        <w:rPr>
          <w:b/>
          <w:sz w:val="28"/>
          <w:szCs w:val="28"/>
          <w:lang w:val="uk-UA"/>
        </w:rPr>
      </w:pPr>
      <w:r w:rsidRPr="00DB4036">
        <w:rPr>
          <w:noProof/>
          <w:lang w:val="uk-UA" w:eastAsia="uk-UA"/>
        </w:rPr>
        <w:lastRenderedPageBreak/>
        <w:drawing>
          <wp:inline distT="0" distB="0" distL="0" distR="0" wp14:anchorId="3CC71788" wp14:editId="3CDE95F2">
            <wp:extent cx="9991725" cy="659989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89820" cy="6598639"/>
                    </a:xfrm>
                    <a:prstGeom prst="rect">
                      <a:avLst/>
                    </a:prstGeom>
                    <a:noFill/>
                    <a:ln>
                      <a:noFill/>
                    </a:ln>
                  </pic:spPr>
                </pic:pic>
              </a:graphicData>
            </a:graphic>
          </wp:inline>
        </w:drawing>
      </w:r>
    </w:p>
    <w:p w:rsidR="00F15D0F" w:rsidRDefault="00F15D0F" w:rsidP="00F15D0F">
      <w:pPr>
        <w:rPr>
          <w:b/>
          <w:sz w:val="28"/>
          <w:szCs w:val="28"/>
          <w:lang w:val="uk-UA"/>
        </w:rPr>
        <w:sectPr w:rsidR="00F15D0F" w:rsidSect="00086ED9">
          <w:pgSz w:w="16838" w:h="11906" w:orient="landscape"/>
          <w:pgMar w:top="851" w:right="567" w:bottom="1701" w:left="539" w:header="709" w:footer="709" w:gutter="0"/>
          <w:cols w:space="708"/>
          <w:titlePg/>
          <w:docGrid w:linePitch="360"/>
        </w:sectPr>
      </w:pPr>
    </w:p>
    <w:p w:rsidR="00F15D0F" w:rsidRPr="00791F7A" w:rsidRDefault="00F15D0F" w:rsidP="00F15D0F">
      <w:pPr>
        <w:rPr>
          <w:b/>
          <w:sz w:val="28"/>
          <w:szCs w:val="28"/>
          <w:lang w:val="uk-UA"/>
        </w:rPr>
      </w:pPr>
    </w:p>
    <w:p w:rsidR="00F15D0F" w:rsidRDefault="00F15D0F" w:rsidP="00F15D0F">
      <w:pPr>
        <w:rPr>
          <w:sz w:val="28"/>
          <w:szCs w:val="28"/>
          <w:lang w:val="uk-UA"/>
        </w:rPr>
      </w:pPr>
      <w:r w:rsidRPr="00150909">
        <w:rPr>
          <w:noProof/>
          <w:lang w:val="uk-UA" w:eastAsia="uk-UA"/>
        </w:rPr>
        <w:drawing>
          <wp:inline distT="0" distB="0" distL="0" distR="0" wp14:anchorId="155CF3A9" wp14:editId="29FC45B4">
            <wp:extent cx="5939790" cy="6809155"/>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6809155"/>
                    </a:xfrm>
                    <a:prstGeom prst="rect">
                      <a:avLst/>
                    </a:prstGeom>
                    <a:noFill/>
                    <a:ln>
                      <a:noFill/>
                    </a:ln>
                  </pic:spPr>
                </pic:pic>
              </a:graphicData>
            </a:graphic>
          </wp:inline>
        </w:drawing>
      </w:r>
    </w:p>
    <w:p w:rsidR="00F15D0F" w:rsidRDefault="00F15D0F" w:rsidP="00F15D0F">
      <w:pPr>
        <w:rPr>
          <w:sz w:val="28"/>
          <w:szCs w:val="28"/>
          <w:lang w:val="uk-UA"/>
        </w:rPr>
      </w:pPr>
    </w:p>
    <w:p w:rsidR="00F15D0F" w:rsidRDefault="00F15D0F" w:rsidP="00F15D0F">
      <w:pPr>
        <w:rPr>
          <w:sz w:val="28"/>
          <w:szCs w:val="28"/>
          <w:lang w:val="uk-UA"/>
        </w:rPr>
      </w:pPr>
    </w:p>
    <w:p w:rsidR="00F15D0F" w:rsidRDefault="00F15D0F" w:rsidP="00F15D0F">
      <w:pPr>
        <w:rPr>
          <w:sz w:val="28"/>
          <w:szCs w:val="28"/>
          <w:lang w:val="uk-UA"/>
        </w:rPr>
      </w:pPr>
    </w:p>
    <w:p w:rsidR="00F15D0F" w:rsidRDefault="00F15D0F" w:rsidP="00F15D0F">
      <w:pPr>
        <w:rPr>
          <w:sz w:val="28"/>
          <w:szCs w:val="28"/>
          <w:lang w:val="uk-UA"/>
        </w:rPr>
      </w:pPr>
    </w:p>
    <w:p w:rsidR="00F15D0F" w:rsidRDefault="00F15D0F" w:rsidP="00F15D0F">
      <w:pPr>
        <w:rPr>
          <w:sz w:val="28"/>
          <w:szCs w:val="28"/>
          <w:lang w:val="uk-UA"/>
        </w:rPr>
      </w:pPr>
    </w:p>
    <w:p w:rsidR="00F15D0F" w:rsidRDefault="00F15D0F" w:rsidP="00F15D0F">
      <w:pPr>
        <w:rPr>
          <w:sz w:val="28"/>
          <w:szCs w:val="28"/>
          <w:lang w:val="uk-UA"/>
        </w:rPr>
      </w:pPr>
    </w:p>
    <w:p w:rsidR="00F15D0F" w:rsidRDefault="00F15D0F" w:rsidP="00F15D0F">
      <w:pPr>
        <w:rPr>
          <w:sz w:val="28"/>
          <w:szCs w:val="28"/>
          <w:lang w:val="uk-UA"/>
        </w:rPr>
      </w:pPr>
    </w:p>
    <w:p w:rsidR="00F15D0F" w:rsidRDefault="00F15D0F" w:rsidP="00F15D0F">
      <w:pPr>
        <w:rPr>
          <w:sz w:val="28"/>
          <w:szCs w:val="28"/>
          <w:lang w:val="uk-UA"/>
        </w:rPr>
      </w:pPr>
    </w:p>
    <w:p w:rsidR="00F15D0F" w:rsidRDefault="00F15D0F" w:rsidP="00F15D0F">
      <w:pPr>
        <w:rPr>
          <w:sz w:val="28"/>
          <w:szCs w:val="28"/>
          <w:lang w:val="uk-UA"/>
        </w:rPr>
      </w:pPr>
    </w:p>
    <w:p w:rsidR="00F15D0F" w:rsidRDefault="00F15D0F" w:rsidP="00F15D0F">
      <w:pPr>
        <w:rPr>
          <w:sz w:val="28"/>
          <w:szCs w:val="28"/>
          <w:lang w:val="uk-UA"/>
        </w:rPr>
      </w:pPr>
    </w:p>
    <w:p w:rsidR="00F15D0F" w:rsidRDefault="00F15D0F" w:rsidP="00F15D0F">
      <w:pPr>
        <w:rPr>
          <w:sz w:val="28"/>
          <w:szCs w:val="28"/>
          <w:lang w:val="uk-UA"/>
        </w:rPr>
      </w:pPr>
    </w:p>
    <w:p w:rsidR="00F15D0F" w:rsidRDefault="00F15D0F" w:rsidP="00F15D0F">
      <w:pPr>
        <w:rPr>
          <w:sz w:val="28"/>
          <w:szCs w:val="28"/>
          <w:lang w:val="uk-UA"/>
        </w:rPr>
      </w:pPr>
    </w:p>
    <w:p w:rsidR="00F15D0F" w:rsidRDefault="00F15D0F" w:rsidP="00F15D0F">
      <w:pPr>
        <w:rPr>
          <w:sz w:val="28"/>
          <w:szCs w:val="28"/>
          <w:lang w:val="uk-UA"/>
        </w:rPr>
      </w:pPr>
    </w:p>
    <w:p w:rsidR="00F15D0F" w:rsidRDefault="00F15D0F" w:rsidP="00F15D0F">
      <w:pPr>
        <w:rPr>
          <w:sz w:val="28"/>
          <w:szCs w:val="28"/>
          <w:lang w:val="uk-UA"/>
        </w:rPr>
      </w:pPr>
    </w:p>
    <w:p w:rsidR="00F15D0F" w:rsidRDefault="00F15D0F" w:rsidP="00F15D0F">
      <w:pPr>
        <w:rPr>
          <w:sz w:val="28"/>
          <w:szCs w:val="28"/>
          <w:lang w:val="uk-UA"/>
        </w:rPr>
        <w:sectPr w:rsidR="00F15D0F" w:rsidSect="00150909">
          <w:pgSz w:w="11906" w:h="16838"/>
          <w:pgMar w:top="539" w:right="851" w:bottom="567" w:left="1701" w:header="709" w:footer="709" w:gutter="0"/>
          <w:cols w:space="708"/>
          <w:titlePg/>
          <w:docGrid w:linePitch="360"/>
        </w:sectPr>
      </w:pPr>
    </w:p>
    <w:p w:rsidR="00F15D0F" w:rsidRDefault="00F15D0F" w:rsidP="00F15D0F">
      <w:pPr>
        <w:rPr>
          <w:sz w:val="28"/>
          <w:szCs w:val="28"/>
          <w:lang w:val="uk-UA"/>
        </w:rPr>
      </w:pPr>
      <w:r w:rsidRPr="00E823D8">
        <w:rPr>
          <w:noProof/>
          <w:lang w:val="uk-UA" w:eastAsia="uk-UA"/>
        </w:rPr>
        <w:lastRenderedPageBreak/>
        <w:drawing>
          <wp:inline distT="0" distB="0" distL="0" distR="0" wp14:anchorId="7936A560" wp14:editId="40733B47">
            <wp:extent cx="9988345" cy="5905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89820" cy="5906372"/>
                    </a:xfrm>
                    <a:prstGeom prst="rect">
                      <a:avLst/>
                    </a:prstGeom>
                    <a:noFill/>
                    <a:ln>
                      <a:noFill/>
                    </a:ln>
                  </pic:spPr>
                </pic:pic>
              </a:graphicData>
            </a:graphic>
          </wp:inline>
        </w:drawing>
      </w:r>
    </w:p>
    <w:p w:rsidR="00F15D0F" w:rsidRDefault="00F15D0F" w:rsidP="00F15D0F">
      <w:pPr>
        <w:rPr>
          <w:sz w:val="28"/>
          <w:szCs w:val="28"/>
          <w:lang w:val="uk-UA"/>
        </w:rPr>
        <w:sectPr w:rsidR="00F15D0F" w:rsidSect="00E823D8">
          <w:pgSz w:w="16838" w:h="11906" w:orient="landscape"/>
          <w:pgMar w:top="851" w:right="567" w:bottom="1701" w:left="539" w:header="709" w:footer="709" w:gutter="0"/>
          <w:cols w:space="708"/>
          <w:titlePg/>
          <w:docGrid w:linePitch="360"/>
        </w:sectPr>
      </w:pPr>
    </w:p>
    <w:p w:rsidR="00994F7B" w:rsidRDefault="00F15D0F">
      <w:bookmarkStart w:id="2" w:name="_GoBack"/>
      <w:bookmarkEnd w:id="2"/>
    </w:p>
    <w:sectPr w:rsidR="00994F7B" w:rsidSect="00F15D0F">
      <w:pgSz w:w="16838" w:h="11906" w:orient="landscape"/>
      <w:pgMar w:top="850" w:right="850" w:bottom="141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6E1" w:rsidRDefault="00F15D0F" w:rsidP="003413D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226E1" w:rsidRDefault="00F15D0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6E1" w:rsidRDefault="00F15D0F" w:rsidP="003413D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0226E1" w:rsidRDefault="00F15D0F">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0CD2"/>
    <w:multiLevelType w:val="hybridMultilevel"/>
    <w:tmpl w:val="9AC63662"/>
    <w:lvl w:ilvl="0" w:tplc="C79AEDA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3FA"/>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D753FA"/>
    <w:rsid w:val="00F15D0F"/>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D0F"/>
    <w:pPr>
      <w:autoSpaceDE w:val="0"/>
      <w:autoSpaceDN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заголовок 4"/>
    <w:basedOn w:val="a"/>
    <w:next w:val="a"/>
    <w:rsid w:val="00F15D0F"/>
    <w:pPr>
      <w:keepNext/>
      <w:ind w:firstLine="1701"/>
      <w:jc w:val="both"/>
    </w:pPr>
    <w:rPr>
      <w:rFonts w:ascii="Bookman Old Style" w:hAnsi="Bookman Old Style"/>
      <w:sz w:val="27"/>
      <w:szCs w:val="27"/>
    </w:rPr>
  </w:style>
  <w:style w:type="paragraph" w:styleId="a3">
    <w:name w:val="footer"/>
    <w:basedOn w:val="a"/>
    <w:link w:val="a4"/>
    <w:uiPriority w:val="99"/>
    <w:rsid w:val="00F15D0F"/>
    <w:pPr>
      <w:tabs>
        <w:tab w:val="center" w:pos="4819"/>
        <w:tab w:val="right" w:pos="9639"/>
      </w:tabs>
    </w:pPr>
  </w:style>
  <w:style w:type="character" w:customStyle="1" w:styleId="a4">
    <w:name w:val="Нижній колонтитул Знак"/>
    <w:basedOn w:val="a0"/>
    <w:link w:val="a3"/>
    <w:uiPriority w:val="99"/>
    <w:rsid w:val="00F15D0F"/>
    <w:rPr>
      <w:rFonts w:ascii="Times New Roman" w:eastAsia="Times New Roman" w:hAnsi="Times New Roman" w:cs="Times New Roman"/>
      <w:sz w:val="20"/>
      <w:szCs w:val="20"/>
      <w:lang w:val="ru-RU" w:eastAsia="ru-RU"/>
    </w:rPr>
  </w:style>
  <w:style w:type="character" w:styleId="a5">
    <w:name w:val="page number"/>
    <w:basedOn w:val="a0"/>
    <w:rsid w:val="00F15D0F"/>
  </w:style>
  <w:style w:type="paragraph" w:styleId="a6">
    <w:name w:val="Balloon Text"/>
    <w:basedOn w:val="a"/>
    <w:link w:val="a7"/>
    <w:uiPriority w:val="99"/>
    <w:semiHidden/>
    <w:unhideWhenUsed/>
    <w:rsid w:val="00F15D0F"/>
    <w:rPr>
      <w:rFonts w:ascii="Tahoma" w:hAnsi="Tahoma" w:cs="Tahoma"/>
      <w:sz w:val="16"/>
      <w:szCs w:val="16"/>
    </w:rPr>
  </w:style>
  <w:style w:type="character" w:customStyle="1" w:styleId="a7">
    <w:name w:val="Текст у виносці Знак"/>
    <w:basedOn w:val="a0"/>
    <w:link w:val="a6"/>
    <w:uiPriority w:val="99"/>
    <w:semiHidden/>
    <w:rsid w:val="00F15D0F"/>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D0F"/>
    <w:pPr>
      <w:autoSpaceDE w:val="0"/>
      <w:autoSpaceDN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заголовок 4"/>
    <w:basedOn w:val="a"/>
    <w:next w:val="a"/>
    <w:rsid w:val="00F15D0F"/>
    <w:pPr>
      <w:keepNext/>
      <w:ind w:firstLine="1701"/>
      <w:jc w:val="both"/>
    </w:pPr>
    <w:rPr>
      <w:rFonts w:ascii="Bookman Old Style" w:hAnsi="Bookman Old Style"/>
      <w:sz w:val="27"/>
      <w:szCs w:val="27"/>
    </w:rPr>
  </w:style>
  <w:style w:type="paragraph" w:styleId="a3">
    <w:name w:val="footer"/>
    <w:basedOn w:val="a"/>
    <w:link w:val="a4"/>
    <w:uiPriority w:val="99"/>
    <w:rsid w:val="00F15D0F"/>
    <w:pPr>
      <w:tabs>
        <w:tab w:val="center" w:pos="4819"/>
        <w:tab w:val="right" w:pos="9639"/>
      </w:tabs>
    </w:pPr>
  </w:style>
  <w:style w:type="character" w:customStyle="1" w:styleId="a4">
    <w:name w:val="Нижній колонтитул Знак"/>
    <w:basedOn w:val="a0"/>
    <w:link w:val="a3"/>
    <w:uiPriority w:val="99"/>
    <w:rsid w:val="00F15D0F"/>
    <w:rPr>
      <w:rFonts w:ascii="Times New Roman" w:eastAsia="Times New Roman" w:hAnsi="Times New Roman" w:cs="Times New Roman"/>
      <w:sz w:val="20"/>
      <w:szCs w:val="20"/>
      <w:lang w:val="ru-RU" w:eastAsia="ru-RU"/>
    </w:rPr>
  </w:style>
  <w:style w:type="character" w:styleId="a5">
    <w:name w:val="page number"/>
    <w:basedOn w:val="a0"/>
    <w:rsid w:val="00F15D0F"/>
  </w:style>
  <w:style w:type="paragraph" w:styleId="a6">
    <w:name w:val="Balloon Text"/>
    <w:basedOn w:val="a"/>
    <w:link w:val="a7"/>
    <w:uiPriority w:val="99"/>
    <w:semiHidden/>
    <w:unhideWhenUsed/>
    <w:rsid w:val="00F15D0F"/>
    <w:rPr>
      <w:rFonts w:ascii="Tahoma" w:hAnsi="Tahoma" w:cs="Tahoma"/>
      <w:sz w:val="16"/>
      <w:szCs w:val="16"/>
    </w:rPr>
  </w:style>
  <w:style w:type="character" w:customStyle="1" w:styleId="a7">
    <w:name w:val="Текст у виносці Знак"/>
    <w:basedOn w:val="a0"/>
    <w:link w:val="a6"/>
    <w:uiPriority w:val="99"/>
    <w:semiHidden/>
    <w:rsid w:val="00F15D0F"/>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2456-17" TargetMode="External"/><Relationship Id="rId13"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hyperlink" Target="http://zakon.rada.gov.ua/laws/show/2456-17" TargetMode="External"/><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zakon.rada.gov.ua/laws/show/2456-17" TargetMode="External"/><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10700</Words>
  <Characters>6099</Characters>
  <Application>Microsoft Office Word</Application>
  <DocSecurity>0</DocSecurity>
  <Lines>50</Lines>
  <Paragraphs>33</Paragraphs>
  <ScaleCrop>false</ScaleCrop>
  <Company>diakov.net</Company>
  <LinksUpToDate>false</LinksUpToDate>
  <CharactersWithSpaces>16766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2023-12-13T13:40:00Z</dcterms:created>
  <dcterms:modified xsi:type="dcterms:W3CDTF">2023-12-13T13:40:00Z</dcterms:modified>
</cp:coreProperties>
</file>