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1F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3339395" wp14:editId="7CB1A034">
            <wp:extent cx="428625" cy="609600"/>
            <wp:effectExtent l="1905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621F" w:rsidRPr="00993299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0621F" w:rsidRPr="00993299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0621F" w:rsidRPr="00993299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0621F" w:rsidRPr="00993299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0621F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сьома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C0621F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0621F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C0621F" w:rsidRPr="00585AC3" w:rsidRDefault="00C0621F" w:rsidP="00C06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C0621F" w:rsidRDefault="00C0621F" w:rsidP="00C062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№1338/27/2023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C0621F" w:rsidRDefault="00C0621F" w:rsidP="00C062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0621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Про </w:t>
      </w:r>
      <w:proofErr w:type="spellStart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внесення</w:t>
      </w:r>
      <w:proofErr w:type="spellEnd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змін</w:t>
      </w:r>
      <w:proofErr w:type="spellEnd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</w:p>
    <w:p w:rsidR="00C0621F" w:rsidRPr="00BF5FA3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Солотвинської  ТГ</w:t>
      </w:r>
    </w:p>
    <w:p w:rsidR="00C0621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«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</w:t>
      </w:r>
    </w:p>
    <w:p w:rsidR="00C0621F" w:rsidRPr="00BF5FA3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на 20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25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0621F" w:rsidRPr="00BF5FA3" w:rsidRDefault="00C0621F" w:rsidP="00C06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C0621F" w:rsidRDefault="00C0621F" w:rsidP="00C06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Враховуючи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пропозиції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постійної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комісії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селищної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ради </w:t>
      </w:r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та </w:t>
      </w:r>
      <w:proofErr w:type="spellStart"/>
      <w:proofErr w:type="gram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</w:rPr>
        <w:t xml:space="preserve"> та відповідно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статті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43 Закону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«Про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місцеве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самоврядування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Україні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Солотвинська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селищна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рада </w:t>
      </w:r>
    </w:p>
    <w:p w:rsidR="00C0621F" w:rsidRPr="00BF5FA3" w:rsidRDefault="00C0621F" w:rsidP="00C06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C0621F" w:rsidRDefault="00C0621F" w:rsidP="00C062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ВИРІШИЛА:</w:t>
      </w:r>
    </w:p>
    <w:p w:rsidR="00C0621F" w:rsidRPr="00BF5FA3" w:rsidRDefault="00C0621F" w:rsidP="00C062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C0621F" w:rsidRPr="00BF5FA3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1. Внести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зміни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затвердження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селищної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Солотвинської ТГ «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» на 20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22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- 202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5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21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грудня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2021 року №860/15/2021, а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саме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:</w:t>
      </w:r>
    </w:p>
    <w:p w:rsidR="00C0621F" w:rsidRPr="00BF5FA3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 в д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одатку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до селищної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Солотвинської ТГ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>«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» на 20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22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-202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5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16.02.2023 року № 1175/23/2023 до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переліку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заходів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додати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пункт № 5 «</w:t>
      </w:r>
      <w:r w:rsidRPr="00BF5FA3">
        <w:rPr>
          <w:rFonts w:ascii="Times New Roman" w:eastAsia="Calibri" w:hAnsi="Times New Roman" w:cs="Times New Roman"/>
          <w:sz w:val="28"/>
          <w:szCs w:val="28"/>
        </w:rPr>
        <w:t xml:space="preserve">Виготовлення та придбання поліграфічної продукції (довідників, путівників, буклетів,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</w:rPr>
        <w:t>карто-схем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</w:rPr>
        <w:t>, книг), сувені</w:t>
      </w:r>
      <w:proofErr w:type="gramStart"/>
      <w:r w:rsidRPr="00BF5FA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F5FA3">
        <w:rPr>
          <w:rFonts w:ascii="Times New Roman" w:eastAsia="Calibri" w:hAnsi="Times New Roman" w:cs="Times New Roman"/>
          <w:sz w:val="28"/>
          <w:szCs w:val="28"/>
        </w:rPr>
        <w:t>ів, відео-рекламно-презентаційних матеріалів про основні об’єкти туристичного показу та екскурсійного відвідування територій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»; пункт № 6 «</w:t>
      </w:r>
      <w:r w:rsidRPr="00BF5FA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Встановлення культурно-оздоровчих майданчиків та центрів дозвілля під відкритим небом»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викласти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програму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новій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редакції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згі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.</w:t>
      </w:r>
    </w:p>
    <w:p w:rsidR="00C0621F" w:rsidRPr="00BF5FA3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2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.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Оприлюднити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офіційному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сайті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ради.</w:t>
      </w:r>
    </w:p>
    <w:p w:rsidR="00C0621F" w:rsidRPr="00BF777C" w:rsidRDefault="00C0621F" w:rsidP="00C0621F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3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. Контроль за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виконанням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покласти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першого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заступника 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селищного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Н.В. Тютюнник</w:t>
      </w:r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постійну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комісію</w:t>
      </w:r>
      <w:proofErr w:type="spellEnd"/>
      <w:r w:rsidRPr="00BF5FA3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та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FA3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(К.В. Данилюк</w:t>
      </w:r>
      <w:r w:rsidRPr="00BF5FA3">
        <w:rPr>
          <w:rFonts w:ascii="Times New Roman" w:eastAsia="Calibri" w:hAnsi="Times New Roman" w:cs="Times New Roman"/>
          <w:sz w:val="28"/>
          <w:szCs w:val="28"/>
        </w:rPr>
        <w:t>)</w:t>
      </w:r>
      <w:r w:rsidRPr="00953A9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та постійну комісію 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планування фінансів, бюджету, інвестицій 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міжнародного співробітництва, </w:t>
      </w:r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соціально-еконо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мічного розвитку (Б.В.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BF777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C0621F" w:rsidRPr="008322E2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8322E2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    Селищний голова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     </w:t>
      </w:r>
      <w:r w:rsidRPr="00BF5FA3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Манолій ПІЦУРЯК</w:t>
      </w:r>
    </w:p>
    <w:p w:rsidR="00C0621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C0621F" w:rsidRPr="001252B0" w:rsidRDefault="00C0621F" w:rsidP="00C062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1252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ЗАТВЕРДЖЕНО</w:t>
      </w:r>
    </w:p>
    <w:p w:rsidR="00C0621F" w:rsidRPr="001252B0" w:rsidRDefault="00C0621F" w:rsidP="00C062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252B0">
        <w:rPr>
          <w:rFonts w:ascii="Times New Roman" w:eastAsia="Calibri" w:hAnsi="Times New Roman" w:cs="Times New Roman"/>
          <w:b/>
          <w:sz w:val="24"/>
          <w:szCs w:val="24"/>
        </w:rPr>
        <w:t xml:space="preserve">рішення Солотвинської селищної ради </w:t>
      </w:r>
    </w:p>
    <w:p w:rsidR="00C0621F" w:rsidRPr="001252B0" w:rsidRDefault="00C0621F" w:rsidP="00C062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252B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28 липня</w:t>
      </w:r>
      <w:r w:rsidRPr="001252B0">
        <w:rPr>
          <w:rFonts w:ascii="Times New Roman" w:eastAsia="Calibri" w:hAnsi="Times New Roman" w:cs="Times New Roman"/>
          <w:b/>
          <w:sz w:val="24"/>
          <w:szCs w:val="24"/>
        </w:rPr>
        <w:t xml:space="preserve"> 2023 року </w:t>
      </w:r>
      <w:r>
        <w:rPr>
          <w:rFonts w:ascii="Times New Roman" w:eastAsia="Calibri" w:hAnsi="Times New Roman" w:cs="Times New Roman"/>
          <w:b/>
          <w:sz w:val="24"/>
          <w:szCs w:val="24"/>
        </w:rPr>
        <w:t>№1338/27</w:t>
      </w:r>
      <w:r w:rsidRPr="001252B0">
        <w:rPr>
          <w:rFonts w:ascii="Times New Roman" w:eastAsia="Calibri" w:hAnsi="Times New Roman" w:cs="Times New Roman"/>
          <w:b/>
          <w:sz w:val="24"/>
          <w:szCs w:val="24"/>
        </w:rPr>
        <w:t>/2023</w:t>
      </w:r>
    </w:p>
    <w:p w:rsidR="00C0621F" w:rsidRPr="00BC26AF" w:rsidRDefault="00C0621F" w:rsidP="00C0621F">
      <w:pPr>
        <w:rPr>
          <w:rFonts w:eastAsiaTheme="minorEastAsia"/>
          <w:lang w:eastAsia="uk-UA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2A658D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>селищна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 xml:space="preserve"> </w:t>
      </w:r>
      <w:proofErr w:type="spellStart"/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цільова</w:t>
      </w:r>
      <w:proofErr w:type="spellEnd"/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 xml:space="preserve"> 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>П</w:t>
      </w:r>
      <w:proofErr w:type="spellStart"/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рограма</w:t>
      </w:r>
      <w:proofErr w:type="spellEnd"/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 xml:space="preserve"> </w:t>
      </w:r>
    </w:p>
    <w:p w:rsidR="00C0621F" w:rsidRPr="002A658D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 xml:space="preserve">Солотвинської ТГ   </w:t>
      </w:r>
    </w:p>
    <w:p w:rsidR="00C0621F" w:rsidRPr="002A658D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</w:pP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«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>Розвиток культури та туризму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»</w:t>
      </w:r>
    </w:p>
    <w:p w:rsidR="00C0621F" w:rsidRPr="002A658D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</w:pP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на 20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>22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>-202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ru-RU"/>
        </w:rPr>
        <w:t>5</w:t>
      </w:r>
      <w:r w:rsidRPr="002A658D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RU" w:eastAsia="ru-RU"/>
        </w:rPr>
        <w:t xml:space="preserve"> роки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2023 </w:t>
      </w:r>
      <w:proofErr w:type="spellStart"/>
      <w:proofErr w:type="gramStart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.</w:t>
      </w:r>
    </w:p>
    <w:p w:rsidR="00C0621F" w:rsidRPr="00BC26AF" w:rsidRDefault="00C0621F" w:rsidP="00C062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6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Загальна характеристика програми</w:t>
      </w:r>
    </w:p>
    <w:p w:rsidR="00C0621F" w:rsidRPr="00BC26AF" w:rsidRDefault="00C0621F" w:rsidP="00C062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ab/>
        <w:t>Для розв’язання проблем культури та туризму селищної територіальної громади  необхідно дотримуватись принципів планування та послідовності, чітко визначити перспективи з урахуванням усіх потреб галузі, використовуючи цільове пріоритетне спрямування бюджетних коштів для вирішення першочергових завдань.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ab/>
        <w:t>Потрібно продовжити позитивні напрацювання щодо зміцнення переорієнтації методів управління культурою – від керування до творчої діяльної координації та підтримки ініціатив на засадах прозорості і публічності, а також щодо інноваційного підходу до вирішення питань галузі на основі активного діалогу з творчою громадськістю. Це стане можливим завдяки спільній роботі відділу культури, туризму, національностей та релігій селищної ради, закладів культури і мистецтв, виконавчого комітету та громадських організацій.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ab/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актуальними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фінансової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ідтримки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туризму</w:t>
      </w:r>
      <w:r w:rsidRPr="00BC26AF">
        <w:rPr>
          <w:rFonts w:ascii="Times New Roman" w:eastAsia="Calibri" w:hAnsi="Times New Roman" w:cs="Times New Roman"/>
          <w:sz w:val="28"/>
          <w:szCs w:val="28"/>
        </w:rPr>
        <w:t>,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завдання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позабюджетних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додаткових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надходжень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цією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необхідно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об’єднати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зусилля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державного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недержавного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секторів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призведе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суттєвих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якості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необхідно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спрямувати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вироблення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погляду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системного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ідходу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сучасних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моделей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політики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сприяли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динамізації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процесів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пошуку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нових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шляхів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примноженню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r w:rsidRPr="00BC26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Селищна цільова Програма «Розвиток культури та туризму» на   2022-2025 роки (далі – програма) розроблена відділом культури, туризму, національностей та релігій селищної ради на виконання Конституції України «Про місцеве самоврядування в Україні», «Про державні цільові програми», «Про культуру», </w:t>
      </w:r>
      <w:r w:rsidRPr="00BC26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 </w:t>
      </w:r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«Про бібліотеки  та бібліотечну справу», </w:t>
      </w:r>
      <w:r w:rsidRPr="00BC26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туризм», «Про інноваційну діяльність» і </w:t>
      </w:r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передбачає вдосконалення реалізації державної політики у сфері культури та туризму, збереження та подальший розвиток культурного потенціалу  в Солотвинській громаді, розвиток культурних традицій, створення туристичних маршрутів, розвито </w:t>
      </w:r>
      <w:proofErr w:type="spellStart"/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екотуризму</w:t>
      </w:r>
      <w:proofErr w:type="spellEnd"/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збереження історичних цінностей, забезпечення доступності закладів культури для всіх верств населення, створення максимально сприятливих умов для творчого 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повнішого, змістовного дозвілля, масового відпочинку та культурного обслуговування населення.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 Станом на 21.12.2021 року  культурне обслуговування населення Солотвинської громади здійснюють 14 бібліотек, 13 клубних закладів (3 Будинки культури та 10 сільських закладів),  а також ДМШ. Дана мережа культосвітніх закладів є оптимальною і при умові повноцінного </w:t>
      </w:r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функціонування спроможна забезпечити  потреби населення громади у культурному обслуговуванні.</w:t>
      </w:r>
    </w:p>
    <w:p w:rsidR="00C0621F" w:rsidRPr="00BC26AF" w:rsidRDefault="00C0621F" w:rsidP="00C0621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нормативним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документом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всебічного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туризму 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іально-економічних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</w:rPr>
        <w:t>Солотвинського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краю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відкрита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доповнення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корегування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спільних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виконавчої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установ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об’єднань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справі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поліпшення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ситуації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іально-економічного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 </w:t>
      </w:r>
      <w:r w:rsidRPr="00BC26AF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визначає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стратегію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організаційну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фінансово-господарських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іністративно-управлінських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всебічного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туризму 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C0621F" w:rsidRPr="00BC26AF" w:rsidRDefault="00C0621F" w:rsidP="00C062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color w:val="333333"/>
          <w:sz w:val="28"/>
          <w:szCs w:val="28"/>
        </w:rPr>
        <w:t>Однак брак коштів негативно позначається на діяльності багатьох закладів культури, гальмує процес підтримки народної творчості, не дозволяє</w:t>
      </w:r>
      <w:r w:rsidRPr="00BC26AF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 </w:t>
      </w:r>
      <w:r w:rsidRPr="00BC26AF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повною мірою реалізувати план зміцнення матеріально-технічної бази закладів культури громади. </w:t>
      </w:r>
    </w:p>
    <w:p w:rsidR="00C0621F" w:rsidRPr="00BC26AF" w:rsidRDefault="00C0621F" w:rsidP="00C0621F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обумовлено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також н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еобхідністю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цілісної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ефективної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системи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направленої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розбудову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конкурентоспроможного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культурного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продукту,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здатного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максимально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задовольнити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та мистецькі 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потреби як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туриста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, а також жителів громади 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основі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іальноекономічного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зростання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івноваги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історико-культурної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Також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першочергового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вирішення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потребує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ресурсі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C0621F" w:rsidRPr="00BC26AF" w:rsidRDefault="00C0621F" w:rsidP="00C0621F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Св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ітова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практика доводить,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доходи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туризму за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можуть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основним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джерелом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наповнення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територій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рівні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дестинації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підвищити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рівень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зайнятості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зростання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доходів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BC26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 Усе вище викладене зумовлює необхідність прийняття селищної цільової програми «Розвиток культури та туризму» на 2022 - 2025 роки ( далі - Програма).</w:t>
      </w:r>
    </w:p>
    <w:p w:rsidR="00C0621F" w:rsidRPr="00BC26AF" w:rsidRDefault="00C0621F" w:rsidP="00C062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6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Мета і стратегічні завдання програми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спрямована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подальший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розвиток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туризму,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ab/>
        <w:t xml:space="preserve">Основною метою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C0621F" w:rsidRPr="00BC26AF" w:rsidRDefault="00C0621F" w:rsidP="00C0621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- </w:t>
      </w:r>
      <w:r w:rsidRPr="00BC26AF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осилення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ідтримки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туризму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громаді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сприятливих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ініціатив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розв’язання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-культурного 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та туристичного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національно-культурної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інтелектуальних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духовних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, а також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туристично-рекреаційної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сфери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621F" w:rsidRPr="00BC26AF" w:rsidRDefault="00C0621F" w:rsidP="00C0621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BC26AF">
        <w:rPr>
          <w:rFonts w:ascii="Times New Roman" w:eastAsia="Calibri" w:hAnsi="Times New Roman" w:cs="Times New Roman"/>
          <w:sz w:val="28"/>
          <w:szCs w:val="28"/>
        </w:rPr>
        <w:t>забезпечення належних, сучасних і дієвих умов – фінансових, правових, організаційних, соціальних – для того, щоб митці, діячі культури, культурно-мистецькі організації, заклади громади працювали краще, динамічніше, успішніше, здобували прихильність і визнання не лише в Україні, а й поза її межами;</w:t>
      </w:r>
    </w:p>
    <w:p w:rsidR="00C0621F" w:rsidRPr="008322E2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lastRenderedPageBreak/>
        <w:t>сприяння становленню талановитої мистецької молоді, підтримка професійної творчої діяльності, реалізації освітніх культурно-мистецьких заходів для дітей та молоді, поповнення фондів музеїв і бібліотек селища.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Основними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стратегічними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завданнями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базової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зміцнення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бази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упровадження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ефективних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методів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засобів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факторі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ідготовка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покоління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підвищення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рівня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професійності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громаді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присвячені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знаменним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датам,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річницям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традиційними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щорічними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участь в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обласних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фестивалів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конкурсів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свят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оглядів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міжрегіональних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обмінів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заході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інформаційно-просвітницьких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культурно-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розвиток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мови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A2"/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єктів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історико-культурної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модернізація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A2"/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єктів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музеї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бібліотек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необхідних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ремонтних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реставраційних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робіт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>популяризація історії та культури рідного краю;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розробка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низки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екскурсійних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маршрутів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, що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гармонійно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поєднати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привабливі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відпочинку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подорожей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повного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найвимогливіших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туристі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рекламн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о-</w:t>
      </w:r>
      <w:proofErr w:type="spellStart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підтримки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відтворення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ремесел;</w:t>
      </w:r>
    </w:p>
    <w:p w:rsidR="00C0621F" w:rsidRPr="00BC26AF" w:rsidRDefault="00C0621F" w:rsidP="00C0621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культурного простору </w:t>
      </w:r>
      <w:r w:rsidRPr="00BC26AF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Фінансове</w:t>
      </w:r>
      <w:proofErr w:type="spellEnd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Заходи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селищного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Бюджетні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передбачаються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щорічно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селищного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виходячи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дохідної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частини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бюджеті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26AF">
        <w:rPr>
          <w:rFonts w:ascii="Times New Roman" w:eastAsia="Calibri" w:hAnsi="Times New Roman" w:cs="Times New Roman"/>
          <w:b/>
          <w:sz w:val="28"/>
          <w:szCs w:val="28"/>
        </w:rPr>
        <w:t>Напрямки організації програми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Виготовлення та придбання поліграфічної продукції (довідників, путівників, буклетів,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</w:rPr>
        <w:t>карто-схем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, книг), сувенірів,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</w:rPr>
        <w:t>відео-рекламнопрезентаційних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матеріалів про основні об’єкти туристичного показу та екскурсійного відвідування територій.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ідтримка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промислів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майстерень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</w:rPr>
        <w:t>пленнерів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3.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виставок-ярмарків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робіт майстрів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</w:rPr>
        <w:t>декоративно-прикладного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мистецтва та майстрів народного мистецтва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семінарів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участі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майстрів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ремесел, а також виставок домашніх улюбленців.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4.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Створення школи бойківського промислу, фольклору та етнографії.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C26AF">
        <w:rPr>
          <w:rFonts w:ascii="Times New Roman" w:eastAsia="Calibri" w:hAnsi="Times New Roman" w:cs="Times New Roman"/>
          <w:sz w:val="28"/>
          <w:szCs w:val="28"/>
        </w:rPr>
        <w:t>5. Кулінарні заходи: шоу вареників, фестиваль борщу, майстер-класи бойківської та польової кухні.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6. </w:t>
      </w:r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Майстер-класи з гончарства, ковальства, різьби по дереву,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</w:rPr>
        <w:t>ляльок-мотанок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>, народного танцю та української забутої пісні.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7. </w:t>
      </w:r>
      <w:proofErr w:type="gramStart"/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G</w:t>
      </w:r>
      <w:proofErr w:type="spellStart"/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>uest</w:t>
      </w:r>
      <w:proofErr w:type="spellEnd"/>
      <w:r w:rsidRPr="008322E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«Скарби бойків».</w:t>
      </w:r>
      <w:proofErr w:type="gramEnd"/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8. </w:t>
      </w:r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Дитячий фестиваль «Журавлики щастя».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9.  </w:t>
      </w:r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Молодіжні заходи: Битва </w:t>
      </w:r>
      <w:proofErr w:type="spellStart"/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Діджеїв</w:t>
      </w:r>
      <w:proofErr w:type="spellEnd"/>
      <w:r w:rsidRPr="00BC26A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; </w:t>
      </w:r>
      <w:proofErr w:type="spellStart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Open</w:t>
      </w:r>
      <w:proofErr w:type="spellEnd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Air</w:t>
      </w:r>
      <w:proofErr w:type="spellEnd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Fest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веломарафони</w:t>
      </w:r>
      <w:proofErr w:type="spellEnd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10.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Етно та </w:t>
      </w:r>
      <w:proofErr w:type="spellStart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гастро</w:t>
      </w:r>
      <w:proofErr w:type="spellEnd"/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фестивалі та фестивалі народного спрямування.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11.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Організація туристичних походів та розширення туристичного потенціалу рідного краю.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12.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Організація заходів в рамках співпраці з громадськими організаціями. </w:t>
      </w:r>
    </w:p>
    <w:p w:rsidR="00C0621F" w:rsidRPr="008322E2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13.</w:t>
      </w:r>
      <w:r w:rsidRPr="00BC26A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Встановлення культурно-оздоровчих майданчиків та центрів дозвілля під відкритим небом. 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Очікувана</w:t>
      </w:r>
      <w:proofErr w:type="spellEnd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ефективність</w:t>
      </w:r>
      <w:proofErr w:type="spellEnd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У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результаті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виконання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очіку</w:t>
      </w:r>
      <w:proofErr w:type="gram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ється</w:t>
      </w:r>
      <w:proofErr w:type="spellEnd"/>
      <w:r w:rsidRPr="00BC26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:rsidR="00C0621F" w:rsidRPr="00BC26AF" w:rsidRDefault="00C0621F" w:rsidP="00C0621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з метою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вільної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ізноманітної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звичаїв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культурного простору </w:t>
      </w:r>
      <w:r w:rsidRPr="00BC26AF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мистецтва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широких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верств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усім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верствам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активізація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осередків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спілок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налагодження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спільних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програм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контроль за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автентичних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матер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іалів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охорона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недопущення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приводять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втрати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ідтримка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промислів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ремесел;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мови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наповнення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фондів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бібліотек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селища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іально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важливою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книжковою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продукцією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періодичними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виданнями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ресурсі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садиб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наданню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послу</w:t>
      </w:r>
      <w:r w:rsidRPr="00BC26AF">
        <w:rPr>
          <w:rFonts w:ascii="Times New Roman" w:eastAsia="Calibri" w:hAnsi="Times New Roman" w:cs="Times New Roman"/>
          <w:sz w:val="28"/>
          <w:szCs w:val="28"/>
        </w:rPr>
        <w:t>г;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рекламно –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ідтримки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туризму та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залучення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інвесторів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надходжень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</w:t>
      </w:r>
      <w:r w:rsidRPr="00BC26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621F" w:rsidRPr="00BC26AF" w:rsidRDefault="00C0621F" w:rsidP="00C0621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C26AF">
        <w:rPr>
          <w:rFonts w:ascii="Times New Roman" w:eastAsia="Calibri" w:hAnsi="Times New Roman" w:cs="Times New Roman"/>
          <w:sz w:val="28"/>
          <w:szCs w:val="28"/>
        </w:rPr>
        <w:t>- п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рискорення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світовий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культурний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простір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сприятиме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формуванню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позитивного </w:t>
      </w:r>
      <w:proofErr w:type="spellStart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>іміджу</w:t>
      </w:r>
      <w:proofErr w:type="spellEnd"/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BC26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C26AF">
        <w:rPr>
          <w:rFonts w:ascii="Times New Roman" w:eastAsia="Calibri" w:hAnsi="Times New Roman" w:cs="Times New Roman"/>
          <w:sz w:val="28"/>
          <w:szCs w:val="28"/>
        </w:rPr>
        <w:t>не тільки на Прикарпатті, а й в Україні.</w:t>
      </w:r>
    </w:p>
    <w:p w:rsidR="00C0621F" w:rsidRPr="00BC26AF" w:rsidRDefault="00C0621F" w:rsidP="00C0621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6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0621F" w:rsidRDefault="00C0621F" w:rsidP="00C062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lastRenderedPageBreak/>
        <w:t xml:space="preserve">Паспорт 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селищної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 Солотвинської ТГ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 на 20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5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C0621F" w:rsidRPr="00BC26AF" w:rsidRDefault="00C0621F" w:rsidP="00C0621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Ініціатори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Солотвинська селищна рада 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області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2.  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Розробники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 </w:t>
      </w:r>
      <w:proofErr w:type="spellStart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культури, туризму, національностей та </w:t>
      </w:r>
      <w:proofErr w:type="gramStart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 селищної ради.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3.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20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роки.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4.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Етапи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2022-2025 роки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</w:t>
      </w:r>
      <w:r w:rsidRPr="00BC2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Очікувані 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бсяги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tbl>
      <w:tblPr>
        <w:tblW w:w="9681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7"/>
        <w:gridCol w:w="2289"/>
        <w:gridCol w:w="2803"/>
        <w:gridCol w:w="2482"/>
      </w:tblGrid>
      <w:tr w:rsidR="00C0621F" w:rsidRPr="00BC26AF" w:rsidTr="00DB6CC9">
        <w:trPr>
          <w:trHeight w:val="645"/>
        </w:trPr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Роки</w:t>
            </w:r>
          </w:p>
        </w:tc>
        <w:tc>
          <w:tcPr>
            <w:tcW w:w="7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Oбсяги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C0621F" w:rsidRPr="00BC26AF" w:rsidTr="00DB6CC9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C0621F" w:rsidRPr="00BC26AF" w:rsidTr="00DB6CC9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селищний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2022-2025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5230,0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5230,0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кошторисних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2022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980,0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            980,0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кошторисних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призначень</w:t>
            </w:r>
            <w:proofErr w:type="spellEnd"/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2023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кошторисних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призначень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кошторисних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призначень</w:t>
            </w:r>
            <w:proofErr w:type="spellEnd"/>
          </w:p>
        </w:tc>
      </w:tr>
      <w:tr w:rsidR="00C0621F" w:rsidRPr="00BC26AF" w:rsidTr="00DB6CC9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1650,0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межах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кошторисних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призначень</w:t>
            </w:r>
            <w:proofErr w:type="spellEnd"/>
          </w:p>
        </w:tc>
      </w:tr>
    </w:tbl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en-US" w:eastAsia="ru-RU"/>
        </w:rPr>
      </w:pPr>
    </w:p>
    <w:p w:rsidR="00C0621F" w:rsidRPr="008D75A5" w:rsidRDefault="00C0621F" w:rsidP="00C06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Секретар </w:t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селищної ради</w:t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Василь МАНДЗЮК</w:t>
      </w:r>
    </w:p>
    <w:p w:rsidR="00C0621F" w:rsidRDefault="00C0621F" w:rsidP="00C0621F">
      <w:pPr>
        <w:shd w:val="clear" w:color="auto" w:fill="FFFFFF"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0621F" w:rsidRDefault="00C0621F" w:rsidP="00C0621F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</w:pP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lastRenderedPageBreak/>
        <w:t xml:space="preserve">Додаток до 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</w:pP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селищної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цільов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ої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П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рограм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и Солотвинської ТГ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br/>
        <w:t>«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Розвиток культури та туризму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» на 20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22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-202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5</w:t>
      </w:r>
      <w:r w:rsidRPr="00BC26AF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роки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Перелік заходів селищної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</w:t>
      </w:r>
      <w:proofErr w:type="spellStart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 Солотвинської ТГ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 на 20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5</w:t>
      </w:r>
      <w:r w:rsidRPr="00BC26A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page" w:horzAnchor="margin" w:tblpXSpec="center" w:tblpY="3001"/>
        <w:tblW w:w="88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2805"/>
        <w:gridCol w:w="1167"/>
        <w:gridCol w:w="1000"/>
        <w:gridCol w:w="702"/>
        <w:gridCol w:w="2554"/>
      </w:tblGrid>
      <w:tr w:rsidR="00C0621F" w:rsidRPr="00BC26AF" w:rsidTr="00DB6CC9">
        <w:trPr>
          <w:trHeight w:val="161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з/</w:t>
            </w:r>
            <w:proofErr w:type="gram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Викона-вець</w:t>
            </w:r>
            <w:proofErr w:type="spellEnd"/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Термін</w:t>
            </w:r>
            <w:proofErr w:type="spellEnd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виконання</w:t>
            </w:r>
            <w:proofErr w:type="spellEnd"/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очікувані</w:t>
            </w:r>
            <w:proofErr w:type="spellEnd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21F" w:rsidRPr="00BC26AF" w:rsidTr="00DB6CC9">
        <w:trPr>
          <w:trHeight w:val="161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621F" w:rsidRPr="00BC26AF" w:rsidTr="00DB6CC9">
        <w:trPr>
          <w:trHeight w:val="277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роки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21F" w:rsidRPr="00BC26AF" w:rsidTr="00DB6CC9">
        <w:trPr>
          <w:trHeight w:val="277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21F" w:rsidRPr="00BC26AF" w:rsidTr="00DB6CC9">
        <w:trPr>
          <w:trHeight w:val="2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Забезпечити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придбання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будівельних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матеріалів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проведення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ремонтних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робіт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придбання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техн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іки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звукової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освітлювальної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апаратури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. </w:t>
            </w:r>
            <w:r w:rsidRPr="00BC26A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</w:t>
            </w:r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мистецького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туристичної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інфраструктури</w:t>
            </w:r>
            <w:proofErr w:type="spellEnd"/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Сприяння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проведення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гастро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етно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фестивалів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мистецьких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конкурсів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оглядів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художньої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творчості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виставок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робіт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майстрів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декоративно-прикладного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мистецтва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майстрів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народної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творчості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</w:t>
            </w:r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сприяння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мистецького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народних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звичаїв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обряді</w:t>
            </w:r>
            <w:proofErr w:type="gram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немате-ріальної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спадщини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патріотизму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;</w:t>
            </w:r>
          </w:p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br/>
            </w:r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ічної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іншої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туристичної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</w:t>
            </w:r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впорядкування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доку-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ментацій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туристич-ного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потенціалу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краю</w:t>
            </w: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паливно-мастильних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іалів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належна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мистецьких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ві</w:t>
            </w:r>
            <w:proofErr w:type="gram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че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та</w:t>
            </w:r>
            <w:proofErr w:type="gram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Виготовлення та придбання поліграфічної продукції (довідників, путівників, буклетів,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</w:rPr>
              <w:t>карто-схем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</w:rPr>
              <w:t>, книг), сувенірів, відео-рекламно-</w:t>
            </w:r>
            <w:r w:rsidRPr="00BC26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презентаційних матеріалів про основні об’єкти туристичного показу та екскурсійного відвідування територій.</w:t>
            </w:r>
          </w:p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належна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мистецьких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сприяння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туристичного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громади</w:t>
            </w:r>
            <w:proofErr w:type="spellEnd"/>
          </w:p>
        </w:tc>
      </w:tr>
      <w:tr w:rsidR="00C0621F" w:rsidRPr="00BC26AF" w:rsidTr="00DB6CC9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r w:rsidRPr="00BC26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Встановлення культурно-оздоровчих майданчиків та центрів дозвілля під відкритим небом.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туризму, </w:t>
            </w: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національностей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рел</w:t>
            </w:r>
            <w:proofErr w:type="gram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ігій</w:t>
            </w:r>
            <w:proofErr w:type="spellEnd"/>
          </w:p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продовж</w:t>
            </w:r>
            <w:proofErr w:type="spellEnd"/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26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21F" w:rsidRPr="00BC26AF" w:rsidRDefault="00C0621F" w:rsidP="00DB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належна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мистецьких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, 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сприяння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туристич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ного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BC26AF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:rsidR="00C0621F" w:rsidRPr="00BC26AF" w:rsidRDefault="00C0621F" w:rsidP="00C062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C26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Секретар </w:t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селищної ради</w:t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BC26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Василь МАНДЗЮК</w:t>
      </w:r>
    </w:p>
    <w:p w:rsidR="00C0621F" w:rsidRDefault="00C0621F" w:rsidP="00C0621F">
      <w:pPr>
        <w:rPr>
          <w:lang w:val="ru-RU"/>
        </w:rPr>
      </w:pPr>
    </w:p>
    <w:bookmarkEnd w:id="0"/>
    <w:p w:rsidR="00994F7B" w:rsidRDefault="00C062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842"/>
    <w:multiLevelType w:val="hybridMultilevel"/>
    <w:tmpl w:val="63927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70F"/>
    <w:multiLevelType w:val="hybridMultilevel"/>
    <w:tmpl w:val="13A4FE18"/>
    <w:lvl w:ilvl="0" w:tplc="5EEE5B7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3C"/>
    <w:rsid w:val="00057B0B"/>
    <w:rsid w:val="0018070E"/>
    <w:rsid w:val="001F7C8A"/>
    <w:rsid w:val="0020793C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621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10198</Words>
  <Characters>5814</Characters>
  <Application>Microsoft Office Word</Application>
  <DocSecurity>0</DocSecurity>
  <Lines>48</Lines>
  <Paragraphs>31</Paragraphs>
  <ScaleCrop>false</ScaleCrop>
  <Company>diakov.net</Company>
  <LinksUpToDate>false</LinksUpToDate>
  <CharactersWithSpaces>15981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2023-10-03T12:20:00Z</dcterms:created>
  <dcterms:modified xsi:type="dcterms:W3CDTF">2023-10-03T12:20:00Z</dcterms:modified>
</cp:coreProperties>
</file>