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4DC" w:rsidRPr="00657734" w:rsidRDefault="00C324DC" w:rsidP="00C324DC">
      <w:pPr>
        <w:spacing w:after="0" w:line="240" w:lineRule="auto"/>
        <w:jc w:val="both"/>
        <w:rPr>
          <w:rFonts w:ascii="Times New Roman" w:eastAsiaTheme="minorEastAsia" w:hAnsi="Times New Roman"/>
          <w:bCs/>
          <w:spacing w:val="11"/>
          <w:sz w:val="28"/>
          <w:szCs w:val="28"/>
          <w:shd w:val="clear" w:color="auto" w:fill="FFFFFF"/>
          <w:lang w:val="ru-RU" w:eastAsia="uk-UA"/>
        </w:rPr>
      </w:pPr>
      <w:r w:rsidRPr="00657734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uk-UA"/>
        </w:rPr>
        <w:t xml:space="preserve">   </w:t>
      </w:r>
      <w:r w:rsidRPr="00657734">
        <w:rPr>
          <w:rFonts w:ascii="Times New Roman" w:eastAsiaTheme="minorEastAsia" w:hAnsi="Times New Roman"/>
          <w:lang w:eastAsia="uk-UA"/>
        </w:rPr>
        <w:t xml:space="preserve"> </w:t>
      </w:r>
      <w:r w:rsidRPr="00657734">
        <w:rPr>
          <w:rFonts w:ascii="Times New Roman" w:eastAsiaTheme="minorEastAsia" w:hAnsi="Times New Roman"/>
          <w:b/>
          <w:bCs/>
          <w:spacing w:val="11"/>
          <w:sz w:val="28"/>
          <w:szCs w:val="28"/>
          <w:shd w:val="clear" w:color="auto" w:fill="FFFFFF"/>
          <w:lang w:eastAsia="uk-UA"/>
        </w:rPr>
        <w:t xml:space="preserve">                               </w:t>
      </w:r>
      <w:r w:rsidRPr="00657734">
        <w:rPr>
          <w:rFonts w:asciiTheme="minorHAnsi" w:eastAsiaTheme="minorEastAsia" w:hAnsiTheme="minorHAnsi" w:cstheme="minorBidi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6D50CECF" wp14:editId="501AD15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7734">
        <w:rPr>
          <w:rFonts w:ascii="Times New Roman" w:eastAsiaTheme="minorEastAsia" w:hAnsi="Times New Roman"/>
          <w:b/>
          <w:bCs/>
          <w:spacing w:val="11"/>
          <w:sz w:val="28"/>
          <w:szCs w:val="28"/>
          <w:shd w:val="clear" w:color="auto" w:fill="FFFFFF"/>
          <w:lang w:eastAsia="uk-UA"/>
        </w:rPr>
        <w:t xml:space="preserve">           </w:t>
      </w:r>
      <w:r w:rsidRPr="00657734">
        <w:rPr>
          <w:rFonts w:ascii="Times New Roman" w:eastAsiaTheme="minorEastAsia" w:hAnsi="Times New Roman"/>
          <w:b/>
          <w:bCs/>
          <w:spacing w:val="11"/>
          <w:sz w:val="28"/>
          <w:szCs w:val="28"/>
          <w:lang w:val="ru-RU" w:eastAsia="uk-UA"/>
        </w:rPr>
        <w:t>УКРАЇНА</w:t>
      </w:r>
    </w:p>
    <w:p w:rsidR="00C324DC" w:rsidRPr="00657734" w:rsidRDefault="00C324DC" w:rsidP="00C324DC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ru-RU" w:eastAsia="uk-UA"/>
        </w:rPr>
      </w:pPr>
      <w:r w:rsidRPr="00657734">
        <w:rPr>
          <w:rFonts w:ascii="Times New Roman" w:eastAsiaTheme="minorEastAsia" w:hAnsi="Times New Roman"/>
          <w:b/>
          <w:sz w:val="28"/>
          <w:szCs w:val="28"/>
          <w:lang w:eastAsia="uk-UA"/>
        </w:rPr>
        <w:t>СОЛОТВИНСЬКА СЕЛИЩНА РАДА</w:t>
      </w:r>
    </w:p>
    <w:p w:rsidR="00C324DC" w:rsidRPr="00657734" w:rsidRDefault="00C324DC" w:rsidP="00C324DC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657734">
        <w:rPr>
          <w:rFonts w:ascii="Times New Roman" w:eastAsiaTheme="minorEastAsia" w:hAnsi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C324DC" w:rsidRPr="00657734" w:rsidRDefault="00C324DC" w:rsidP="00C324DC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657734">
        <w:rPr>
          <w:rFonts w:ascii="Times New Roman" w:eastAsiaTheme="minorEastAsia" w:hAnsi="Times New Roman"/>
          <w:b/>
          <w:sz w:val="28"/>
          <w:szCs w:val="28"/>
          <w:lang w:eastAsia="uk-UA"/>
        </w:rPr>
        <w:t>Восьме демократичне скликання</w:t>
      </w:r>
    </w:p>
    <w:p w:rsidR="00C324DC" w:rsidRPr="00657734" w:rsidRDefault="00C324DC" w:rsidP="00C324DC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657734">
        <w:rPr>
          <w:rFonts w:ascii="Times New Roman" w:eastAsiaTheme="minorEastAsia" w:hAnsi="Times New Roman"/>
          <w:b/>
          <w:sz w:val="28"/>
          <w:szCs w:val="28"/>
          <w:lang w:eastAsia="uk-UA"/>
        </w:rPr>
        <w:t>Двадцять друга сесія</w:t>
      </w:r>
    </w:p>
    <w:p w:rsidR="00C324DC" w:rsidRPr="00657734" w:rsidRDefault="00C324DC" w:rsidP="00C324DC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uk-UA"/>
        </w:rPr>
      </w:pPr>
      <w:r w:rsidRPr="00657734">
        <w:rPr>
          <w:rFonts w:ascii="Times New Roman" w:eastAsiaTheme="minorEastAsia" w:hAnsi="Times New Roman"/>
          <w:sz w:val="24"/>
          <w:szCs w:val="24"/>
          <w:lang w:eastAsia="uk-UA"/>
        </w:rPr>
        <w:t>(друге пленарне засідання</w:t>
      </w:r>
      <w:r w:rsidRPr="00657734">
        <w:rPr>
          <w:rFonts w:ascii="Times New Roman" w:eastAsiaTheme="minorEastAsia" w:hAnsi="Times New Roman"/>
          <w:sz w:val="28"/>
          <w:szCs w:val="28"/>
          <w:lang w:eastAsia="uk-UA"/>
        </w:rPr>
        <w:t>)</w:t>
      </w:r>
    </w:p>
    <w:p w:rsidR="00C324DC" w:rsidRPr="00657734" w:rsidRDefault="00C324DC" w:rsidP="00C324DC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657734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  РІШЕННЯ </w:t>
      </w:r>
    </w:p>
    <w:p w:rsidR="00C324DC" w:rsidRPr="00657734" w:rsidRDefault="00C324DC" w:rsidP="00C324DC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657734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 </w:t>
      </w:r>
    </w:p>
    <w:p w:rsidR="00C324DC" w:rsidRPr="00657734" w:rsidRDefault="00C324DC" w:rsidP="00C324DC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657734">
        <w:rPr>
          <w:rFonts w:ascii="Times New Roman" w:eastAsiaTheme="minorEastAsia" w:hAnsi="Times New Roman"/>
          <w:sz w:val="24"/>
          <w:szCs w:val="24"/>
          <w:lang w:eastAsia="uk-UA"/>
        </w:rPr>
        <w:t xml:space="preserve">21 грудня 2022 року                                 </w:t>
      </w:r>
      <w:proofErr w:type="spellStart"/>
      <w:r w:rsidRPr="00657734">
        <w:rPr>
          <w:rFonts w:ascii="Times New Roman" w:eastAsiaTheme="minorEastAsia" w:hAnsi="Times New Roman"/>
          <w:sz w:val="24"/>
          <w:szCs w:val="24"/>
          <w:lang w:eastAsia="uk-UA"/>
        </w:rPr>
        <w:t>смт.Солотвин</w:t>
      </w:r>
      <w:proofErr w:type="spellEnd"/>
      <w:r w:rsidRPr="00657734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                      №1010/22/2022 </w:t>
      </w:r>
      <w:r w:rsidRPr="00657734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</w:t>
      </w:r>
    </w:p>
    <w:p w:rsidR="00C324DC" w:rsidRPr="00657734" w:rsidRDefault="00C324DC" w:rsidP="00C324DC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uk-UA"/>
        </w:rPr>
      </w:pPr>
    </w:p>
    <w:p w:rsidR="00C324DC" w:rsidRPr="00657734" w:rsidRDefault="00C324DC" w:rsidP="00C324DC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657734">
        <w:rPr>
          <w:rFonts w:ascii="Times New Roman" w:eastAsiaTheme="minorEastAsia" w:hAnsi="Times New Roman"/>
          <w:b/>
          <w:sz w:val="28"/>
          <w:szCs w:val="28"/>
          <w:lang w:eastAsia="uk-UA"/>
        </w:rPr>
        <w:t>Про стан використання земель на території</w:t>
      </w:r>
    </w:p>
    <w:p w:rsidR="00C324DC" w:rsidRPr="00657734" w:rsidRDefault="00C324DC" w:rsidP="00C324DC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657734">
        <w:rPr>
          <w:rFonts w:ascii="Times New Roman" w:eastAsiaTheme="minorEastAsia" w:hAnsi="Times New Roman"/>
          <w:b/>
          <w:sz w:val="28"/>
          <w:szCs w:val="28"/>
          <w:lang w:eastAsia="uk-UA"/>
        </w:rPr>
        <w:t>Солотвинської селищної ради</w:t>
      </w:r>
    </w:p>
    <w:p w:rsidR="00C324DC" w:rsidRPr="00657734" w:rsidRDefault="00C324DC" w:rsidP="00C324DC">
      <w:pPr>
        <w:spacing w:line="240" w:lineRule="auto"/>
        <w:jc w:val="both"/>
        <w:rPr>
          <w:rFonts w:ascii="Times New Roman" w:eastAsiaTheme="minorEastAsia" w:hAnsi="Times New Roman"/>
          <w:sz w:val="28"/>
          <w:szCs w:val="28"/>
          <w:lang w:eastAsia="uk-UA"/>
        </w:rPr>
      </w:pPr>
      <w:r w:rsidRPr="00657734">
        <w:rPr>
          <w:rFonts w:ascii="Times New Roman" w:eastAsiaTheme="minorEastAsia" w:hAnsi="Times New Roman"/>
          <w:sz w:val="28"/>
          <w:szCs w:val="28"/>
          <w:lang w:eastAsia="uk-UA"/>
        </w:rPr>
        <w:t xml:space="preserve">  </w:t>
      </w:r>
    </w:p>
    <w:p w:rsidR="00C324DC" w:rsidRPr="00657734" w:rsidRDefault="00C324DC" w:rsidP="00C324DC">
      <w:pPr>
        <w:spacing w:after="0" w:line="240" w:lineRule="auto"/>
        <w:ind w:right="-142"/>
        <w:jc w:val="both"/>
        <w:rPr>
          <w:rFonts w:ascii="Times New Roman" w:eastAsiaTheme="minorEastAsia" w:hAnsi="Times New Roman"/>
          <w:sz w:val="28"/>
          <w:szCs w:val="28"/>
          <w:lang w:eastAsia="uk-UA"/>
        </w:rPr>
      </w:pPr>
      <w:r w:rsidRPr="00657734">
        <w:rPr>
          <w:rFonts w:ascii="Times New Roman" w:eastAsiaTheme="minorEastAsia" w:hAnsi="Times New Roman"/>
          <w:sz w:val="28"/>
          <w:szCs w:val="28"/>
          <w:lang w:eastAsia="uk-UA"/>
        </w:rPr>
        <w:t xml:space="preserve">         Керуючись законом України «Про місцеве самоврядування в Україні»,</w:t>
      </w:r>
      <w:r w:rsidRPr="0065773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657734">
        <w:rPr>
          <w:rFonts w:ascii="Times New Roman" w:eastAsiaTheme="minorEastAsia" w:hAnsi="Times New Roman"/>
          <w:sz w:val="28"/>
          <w:szCs w:val="28"/>
          <w:lang w:eastAsia="uk-UA"/>
        </w:rPr>
        <w:t xml:space="preserve">та </w:t>
      </w:r>
      <w:r w:rsidRPr="00657734">
        <w:rPr>
          <w:rFonts w:ascii="Times New Roman" w:eastAsiaTheme="minorEastAsia" w:hAnsi="Times New Roman"/>
          <w:sz w:val="28"/>
          <w:szCs w:val="28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657734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 </w:t>
      </w:r>
      <w:r w:rsidRPr="00657734">
        <w:rPr>
          <w:rFonts w:ascii="Times New Roman" w:eastAsiaTheme="minorEastAsia" w:hAnsi="Times New Roman"/>
          <w:sz w:val="28"/>
          <w:szCs w:val="28"/>
          <w:lang w:eastAsia="uk-UA"/>
        </w:rPr>
        <w:t>Солотвинська селищна рада</w:t>
      </w:r>
    </w:p>
    <w:p w:rsidR="00C324DC" w:rsidRPr="00657734" w:rsidRDefault="00C324DC" w:rsidP="00C324DC">
      <w:pPr>
        <w:spacing w:line="240" w:lineRule="auto"/>
        <w:jc w:val="both"/>
        <w:rPr>
          <w:rFonts w:ascii="Times New Roman" w:eastAsiaTheme="minorEastAsia" w:hAnsi="Times New Roman"/>
          <w:sz w:val="28"/>
          <w:szCs w:val="28"/>
          <w:lang w:eastAsia="uk-UA"/>
        </w:rPr>
      </w:pPr>
      <w:r w:rsidRPr="00657734">
        <w:rPr>
          <w:rFonts w:ascii="Times New Roman" w:eastAsiaTheme="minorEastAsia" w:hAnsi="Times New Roman"/>
          <w:sz w:val="28"/>
          <w:szCs w:val="28"/>
          <w:lang w:eastAsia="uk-UA"/>
        </w:rPr>
        <w:t xml:space="preserve">   </w:t>
      </w:r>
    </w:p>
    <w:p w:rsidR="00C324DC" w:rsidRPr="00657734" w:rsidRDefault="00C324DC" w:rsidP="00C324DC">
      <w:pPr>
        <w:spacing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657734">
        <w:rPr>
          <w:rFonts w:ascii="Times New Roman" w:eastAsiaTheme="minorEastAsia" w:hAnsi="Times New Roman"/>
          <w:b/>
          <w:sz w:val="28"/>
          <w:szCs w:val="28"/>
          <w:lang w:eastAsia="uk-UA"/>
        </w:rPr>
        <w:t>вирішила:</w:t>
      </w:r>
    </w:p>
    <w:p w:rsidR="00C324DC" w:rsidRPr="00657734" w:rsidRDefault="00C324DC" w:rsidP="00C324DC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uk-UA"/>
        </w:rPr>
      </w:pPr>
      <w:r w:rsidRPr="00657734">
        <w:rPr>
          <w:rFonts w:ascii="Times New Roman" w:eastAsiaTheme="minorEastAsia" w:hAnsi="Times New Roman"/>
          <w:sz w:val="28"/>
          <w:szCs w:val="28"/>
          <w:lang w:eastAsia="uk-UA"/>
        </w:rPr>
        <w:t xml:space="preserve">         1.Інформацію начальника відділу земельних ресурсів та екології </w:t>
      </w:r>
      <w:proofErr w:type="spellStart"/>
      <w:r w:rsidRPr="00657734">
        <w:rPr>
          <w:rFonts w:ascii="Times New Roman" w:eastAsiaTheme="minorEastAsia" w:hAnsi="Times New Roman"/>
          <w:sz w:val="28"/>
          <w:szCs w:val="28"/>
          <w:lang w:eastAsia="uk-UA"/>
        </w:rPr>
        <w:t>Лесюк</w:t>
      </w:r>
      <w:proofErr w:type="spellEnd"/>
      <w:r w:rsidRPr="00657734">
        <w:rPr>
          <w:rFonts w:ascii="Times New Roman" w:eastAsiaTheme="minorEastAsia" w:hAnsi="Times New Roman"/>
          <w:sz w:val="28"/>
          <w:szCs w:val="28"/>
          <w:lang w:eastAsia="uk-UA"/>
        </w:rPr>
        <w:t xml:space="preserve"> Л.В. про стан використання земель на території Солотвинської селищної ради взяти до відома.</w:t>
      </w:r>
    </w:p>
    <w:p w:rsidR="00C324DC" w:rsidRPr="00657734" w:rsidRDefault="00C324DC" w:rsidP="00C324D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657734">
        <w:rPr>
          <w:rFonts w:ascii="Times New Roman" w:eastAsiaTheme="minorEastAsia" w:hAnsi="Times New Roman"/>
          <w:sz w:val="28"/>
          <w:szCs w:val="28"/>
          <w:lang w:eastAsia="uk-UA"/>
        </w:rPr>
        <w:t xml:space="preserve">        2.Відділу земельних ресурсів та екології вживати заходів по ефективному використанні земель комунальної власності.</w:t>
      </w:r>
    </w:p>
    <w:p w:rsidR="00C324DC" w:rsidRPr="00657734" w:rsidRDefault="00C324DC" w:rsidP="00C324D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657734">
        <w:rPr>
          <w:rFonts w:ascii="Times New Roman" w:eastAsia="Times New Roman" w:hAnsi="Times New Roman"/>
          <w:sz w:val="28"/>
          <w:szCs w:val="28"/>
          <w:lang w:eastAsia="uk-UA"/>
        </w:rPr>
        <w:t xml:space="preserve">        3.Контроль за виконанням цього рішення покласти на </w:t>
      </w:r>
      <w:r w:rsidRPr="00657734">
        <w:rPr>
          <w:rFonts w:ascii="Times New Roman" w:eastAsiaTheme="minorEastAsia" w:hAnsi="Times New Roman"/>
          <w:sz w:val="28"/>
          <w:szCs w:val="28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657734">
        <w:rPr>
          <w:rFonts w:ascii="Times New Roman" w:eastAsiaTheme="minorEastAsia" w:hAnsi="Times New Roman"/>
          <w:sz w:val="28"/>
          <w:szCs w:val="28"/>
          <w:lang w:eastAsia="uk-UA"/>
        </w:rPr>
        <w:t>постійну комісію з питань земельних відносин, будівництва, архітектури та екології (Білана О.Л.).</w:t>
      </w:r>
    </w:p>
    <w:p w:rsidR="00C324DC" w:rsidRPr="00657734" w:rsidRDefault="00C324DC" w:rsidP="00C324DC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uk-UA"/>
        </w:rPr>
      </w:pPr>
    </w:p>
    <w:p w:rsidR="00C324DC" w:rsidRPr="00657734" w:rsidRDefault="00C324DC" w:rsidP="00C324DC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uk-UA"/>
        </w:rPr>
      </w:pPr>
      <w:r w:rsidRPr="00657734">
        <w:rPr>
          <w:rFonts w:ascii="Times New Roman" w:eastAsiaTheme="minorEastAsia" w:hAnsi="Times New Roman"/>
          <w:sz w:val="28"/>
          <w:szCs w:val="28"/>
          <w:lang w:eastAsia="uk-UA"/>
        </w:rPr>
        <w:t xml:space="preserve">               </w:t>
      </w:r>
    </w:p>
    <w:p w:rsidR="00C324DC" w:rsidRPr="00657734" w:rsidRDefault="00C324DC" w:rsidP="00C324DC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uk-UA"/>
        </w:rPr>
      </w:pPr>
    </w:p>
    <w:p w:rsidR="00C324DC" w:rsidRPr="00657734" w:rsidRDefault="00C324DC" w:rsidP="00C324DC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uk-UA"/>
        </w:rPr>
      </w:pPr>
    </w:p>
    <w:p w:rsidR="00C324DC" w:rsidRPr="00657734" w:rsidRDefault="00C324DC" w:rsidP="00C324DC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657734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Селищний голова                                     Манолій ПІЦУРЯК </w:t>
      </w:r>
    </w:p>
    <w:p w:rsidR="00C324DC" w:rsidRPr="00657734" w:rsidRDefault="00C324DC" w:rsidP="00C324DC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uk-UA"/>
        </w:rPr>
      </w:pPr>
    </w:p>
    <w:p w:rsidR="00C324DC" w:rsidRPr="00657734" w:rsidRDefault="00C324DC" w:rsidP="00C324DC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uk-UA"/>
        </w:rPr>
      </w:pPr>
    </w:p>
    <w:p w:rsidR="00C324DC" w:rsidRPr="00657734" w:rsidRDefault="00C324DC" w:rsidP="00C324DC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uk-UA"/>
        </w:rPr>
      </w:pPr>
    </w:p>
    <w:p w:rsidR="00C324DC" w:rsidRPr="00657734" w:rsidRDefault="00C324DC" w:rsidP="00C324DC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uk-UA"/>
        </w:rPr>
      </w:pPr>
    </w:p>
    <w:p w:rsidR="00C324DC" w:rsidRPr="00657734" w:rsidRDefault="00C324DC" w:rsidP="00C324DC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uk-UA"/>
        </w:rPr>
      </w:pPr>
    </w:p>
    <w:p w:rsidR="00994F7B" w:rsidRDefault="002F1338"/>
    <w:p w:rsidR="002F1338" w:rsidRDefault="002F1338"/>
    <w:p w:rsidR="002F1338" w:rsidRDefault="002F1338"/>
    <w:p w:rsidR="002F1338" w:rsidRPr="00657734" w:rsidRDefault="002F1338" w:rsidP="002F1338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57734">
        <w:rPr>
          <w:rFonts w:ascii="Times New Roman" w:eastAsiaTheme="minorHAnsi" w:hAnsi="Times New Roman"/>
          <w:b/>
          <w:sz w:val="28"/>
          <w:szCs w:val="28"/>
        </w:rPr>
        <w:lastRenderedPageBreak/>
        <w:t xml:space="preserve">                                                                                         </w:t>
      </w:r>
      <w:r w:rsidRPr="00657734">
        <w:rPr>
          <w:rFonts w:ascii="Times New Roman" w:eastAsiaTheme="minorHAnsi" w:hAnsi="Times New Roman"/>
          <w:sz w:val="24"/>
          <w:szCs w:val="24"/>
        </w:rPr>
        <w:t>Додаток</w:t>
      </w:r>
    </w:p>
    <w:p w:rsidR="002F1338" w:rsidRPr="00657734" w:rsidRDefault="002F1338" w:rsidP="002F1338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57734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               до рішення сесії</w:t>
      </w:r>
    </w:p>
    <w:p w:rsidR="002F1338" w:rsidRPr="00657734" w:rsidRDefault="002F1338" w:rsidP="002F1338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57734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         від 21 грудня 2022р.№1010/22/2022 </w:t>
      </w:r>
    </w:p>
    <w:p w:rsidR="002F1338" w:rsidRPr="00657734" w:rsidRDefault="002F1338" w:rsidP="002F1338">
      <w:pPr>
        <w:rPr>
          <w:rFonts w:ascii="Times New Roman" w:eastAsiaTheme="minorHAnsi" w:hAnsi="Times New Roman"/>
          <w:b/>
          <w:sz w:val="24"/>
          <w:szCs w:val="24"/>
        </w:rPr>
      </w:pPr>
    </w:p>
    <w:p w:rsidR="002F1338" w:rsidRPr="00657734" w:rsidRDefault="002F1338" w:rsidP="002F1338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657734">
        <w:rPr>
          <w:rFonts w:ascii="Times New Roman" w:eastAsiaTheme="minorHAnsi" w:hAnsi="Times New Roman"/>
          <w:b/>
          <w:sz w:val="28"/>
          <w:szCs w:val="28"/>
        </w:rPr>
        <w:t>Інформаційна довідка про стан використання земель на території Солотвинської селищної ради</w:t>
      </w:r>
    </w:p>
    <w:p w:rsidR="002F1338" w:rsidRPr="00657734" w:rsidRDefault="002F1338" w:rsidP="002F1338">
      <w:pPr>
        <w:rPr>
          <w:rFonts w:ascii="Times New Roman" w:eastAsiaTheme="minorHAnsi" w:hAnsi="Times New Roman"/>
          <w:b/>
          <w:sz w:val="28"/>
          <w:szCs w:val="28"/>
        </w:rPr>
      </w:pPr>
      <w:r w:rsidRPr="00657734">
        <w:rPr>
          <w:rFonts w:ascii="Times New Roman" w:eastAsiaTheme="minorHAnsi" w:hAnsi="Times New Roman"/>
          <w:color w:val="565656"/>
          <w:sz w:val="28"/>
          <w:szCs w:val="28"/>
        </w:rPr>
        <w:t xml:space="preserve">                </w:t>
      </w:r>
    </w:p>
    <w:p w:rsidR="002F1338" w:rsidRPr="00657734" w:rsidRDefault="002F1338" w:rsidP="002F1338">
      <w:pPr>
        <w:rPr>
          <w:rFonts w:ascii="Times New Roman" w:eastAsiaTheme="minorHAnsi" w:hAnsi="Times New Roman"/>
          <w:sz w:val="28"/>
          <w:szCs w:val="28"/>
        </w:rPr>
      </w:pPr>
      <w:r w:rsidRPr="00657734">
        <w:rPr>
          <w:rFonts w:ascii="Times New Roman" w:eastAsiaTheme="minorHAnsi" w:hAnsi="Times New Roman"/>
          <w:b/>
          <w:sz w:val="28"/>
          <w:szCs w:val="28"/>
        </w:rPr>
        <w:t xml:space="preserve">            </w:t>
      </w:r>
      <w:r w:rsidRPr="00657734">
        <w:rPr>
          <w:rFonts w:ascii="Times New Roman" w:eastAsiaTheme="minorHAnsi" w:hAnsi="Times New Roman"/>
          <w:sz w:val="28"/>
          <w:szCs w:val="28"/>
        </w:rPr>
        <w:t>Територія Солотвинської селищної ради територіальної громади складає   37 693 га.</w:t>
      </w:r>
    </w:p>
    <w:p w:rsidR="002F1338" w:rsidRPr="00657734" w:rsidRDefault="002F1338" w:rsidP="002F1338">
      <w:pPr>
        <w:rPr>
          <w:rFonts w:ascii="Times New Roman" w:eastAsiaTheme="minorHAnsi" w:hAnsi="Times New Roman"/>
          <w:sz w:val="28"/>
          <w:szCs w:val="28"/>
        </w:rPr>
      </w:pPr>
      <w:r w:rsidRPr="00657734">
        <w:rPr>
          <w:rFonts w:ascii="Times New Roman" w:eastAsiaTheme="minorHAnsi" w:hAnsi="Times New Roman"/>
          <w:sz w:val="28"/>
          <w:szCs w:val="28"/>
        </w:rPr>
        <w:t xml:space="preserve">             В тому числі по категоріях:</w:t>
      </w:r>
    </w:p>
    <w:p w:rsidR="002F1338" w:rsidRPr="00657734" w:rsidRDefault="002F1338" w:rsidP="002F1338">
      <w:pPr>
        <w:rPr>
          <w:rFonts w:ascii="Times New Roman" w:eastAsiaTheme="minorHAnsi" w:hAnsi="Times New Roman"/>
          <w:sz w:val="28"/>
          <w:szCs w:val="28"/>
        </w:rPr>
      </w:pPr>
      <w:r w:rsidRPr="00657734">
        <w:rPr>
          <w:rFonts w:ascii="Times New Roman" w:eastAsiaTheme="minorHAnsi" w:hAnsi="Times New Roman"/>
          <w:sz w:val="28"/>
          <w:szCs w:val="28"/>
        </w:rPr>
        <w:t>Землі сільськогосподарського призначення – 9 807,2 га</w:t>
      </w:r>
    </w:p>
    <w:p w:rsidR="002F1338" w:rsidRPr="00657734" w:rsidRDefault="002F1338" w:rsidP="002F1338">
      <w:pPr>
        <w:rPr>
          <w:rFonts w:ascii="Times New Roman" w:eastAsiaTheme="minorHAnsi" w:hAnsi="Times New Roman"/>
          <w:sz w:val="28"/>
          <w:szCs w:val="28"/>
        </w:rPr>
      </w:pPr>
      <w:r w:rsidRPr="00657734">
        <w:rPr>
          <w:rFonts w:ascii="Times New Roman" w:eastAsiaTheme="minorHAnsi" w:hAnsi="Times New Roman"/>
          <w:sz w:val="28"/>
          <w:szCs w:val="28"/>
        </w:rPr>
        <w:t xml:space="preserve">Землі житлової та громадської забудови – 1 396,6252 га </w:t>
      </w:r>
    </w:p>
    <w:p w:rsidR="002F1338" w:rsidRPr="00657734" w:rsidRDefault="002F1338" w:rsidP="002F1338">
      <w:pPr>
        <w:rPr>
          <w:rFonts w:ascii="Times New Roman" w:eastAsiaTheme="minorHAnsi" w:hAnsi="Times New Roman"/>
          <w:sz w:val="28"/>
          <w:szCs w:val="28"/>
        </w:rPr>
      </w:pPr>
      <w:r w:rsidRPr="00657734">
        <w:rPr>
          <w:rFonts w:ascii="Times New Roman" w:eastAsiaTheme="minorHAnsi" w:hAnsi="Times New Roman"/>
          <w:sz w:val="28"/>
          <w:szCs w:val="28"/>
        </w:rPr>
        <w:t xml:space="preserve">Землі лісогосподарського призначення – 25 741,9627 га в тому числі: </w:t>
      </w:r>
      <w:proofErr w:type="spellStart"/>
      <w:r w:rsidRPr="00657734">
        <w:rPr>
          <w:rFonts w:ascii="Times New Roman" w:eastAsiaTheme="minorHAnsi" w:hAnsi="Times New Roman"/>
          <w:sz w:val="28"/>
          <w:szCs w:val="28"/>
        </w:rPr>
        <w:t>Осмолодське</w:t>
      </w:r>
      <w:proofErr w:type="spellEnd"/>
      <w:r w:rsidRPr="00657734">
        <w:rPr>
          <w:rFonts w:ascii="Times New Roman" w:eastAsiaTheme="minorHAnsi" w:hAnsi="Times New Roman"/>
          <w:sz w:val="28"/>
          <w:szCs w:val="28"/>
        </w:rPr>
        <w:t xml:space="preserve"> лісове господарство 12 330,5139 га; </w:t>
      </w:r>
      <w:proofErr w:type="spellStart"/>
      <w:r w:rsidRPr="00657734">
        <w:rPr>
          <w:rFonts w:ascii="Times New Roman" w:eastAsiaTheme="minorHAnsi" w:hAnsi="Times New Roman"/>
          <w:sz w:val="28"/>
          <w:szCs w:val="28"/>
        </w:rPr>
        <w:t>Богородчанський</w:t>
      </w:r>
      <w:proofErr w:type="spellEnd"/>
      <w:r w:rsidRPr="00657734">
        <w:rPr>
          <w:rFonts w:ascii="Times New Roman" w:eastAsiaTheme="minorHAnsi" w:hAnsi="Times New Roman"/>
          <w:sz w:val="28"/>
          <w:szCs w:val="28"/>
        </w:rPr>
        <w:t xml:space="preserve"> спеціалізований </w:t>
      </w:r>
      <w:proofErr w:type="spellStart"/>
      <w:r w:rsidRPr="00657734">
        <w:rPr>
          <w:rFonts w:ascii="Times New Roman" w:eastAsiaTheme="minorHAnsi" w:hAnsi="Times New Roman"/>
          <w:sz w:val="28"/>
          <w:szCs w:val="28"/>
        </w:rPr>
        <w:t>агролісгосп</w:t>
      </w:r>
      <w:proofErr w:type="spellEnd"/>
      <w:r w:rsidRPr="00657734">
        <w:rPr>
          <w:rFonts w:ascii="Times New Roman" w:eastAsiaTheme="minorHAnsi" w:hAnsi="Times New Roman"/>
          <w:sz w:val="28"/>
          <w:szCs w:val="28"/>
        </w:rPr>
        <w:t xml:space="preserve"> – 2086,0 га; Національний природний парк «</w:t>
      </w:r>
      <w:proofErr w:type="spellStart"/>
      <w:r w:rsidRPr="00657734">
        <w:rPr>
          <w:rFonts w:ascii="Times New Roman" w:eastAsiaTheme="minorHAnsi" w:hAnsi="Times New Roman"/>
          <w:sz w:val="28"/>
          <w:szCs w:val="28"/>
        </w:rPr>
        <w:t>Синьогора</w:t>
      </w:r>
      <w:proofErr w:type="spellEnd"/>
      <w:r w:rsidRPr="00657734">
        <w:rPr>
          <w:rFonts w:ascii="Times New Roman" w:eastAsiaTheme="minorHAnsi" w:hAnsi="Times New Roman"/>
          <w:sz w:val="28"/>
          <w:szCs w:val="28"/>
        </w:rPr>
        <w:t xml:space="preserve">» - 10 866 га; </w:t>
      </w:r>
      <w:proofErr w:type="spellStart"/>
      <w:r w:rsidRPr="00657734">
        <w:rPr>
          <w:rFonts w:ascii="Times New Roman" w:eastAsiaTheme="minorHAnsi" w:hAnsi="Times New Roman"/>
          <w:sz w:val="28"/>
          <w:szCs w:val="28"/>
        </w:rPr>
        <w:t>чагарники-</w:t>
      </w:r>
      <w:proofErr w:type="spellEnd"/>
      <w:r w:rsidRPr="00657734">
        <w:rPr>
          <w:rFonts w:ascii="Times New Roman" w:eastAsiaTheme="minorHAnsi" w:hAnsi="Times New Roman"/>
          <w:sz w:val="28"/>
          <w:szCs w:val="28"/>
        </w:rPr>
        <w:t xml:space="preserve"> 459,4488 га.</w:t>
      </w:r>
    </w:p>
    <w:p w:rsidR="002F1338" w:rsidRPr="00657734" w:rsidRDefault="002F1338" w:rsidP="002F1338">
      <w:pPr>
        <w:rPr>
          <w:rFonts w:ascii="Times New Roman" w:eastAsiaTheme="minorHAnsi" w:hAnsi="Times New Roman"/>
          <w:sz w:val="28"/>
          <w:szCs w:val="28"/>
        </w:rPr>
      </w:pPr>
      <w:r w:rsidRPr="00657734">
        <w:rPr>
          <w:rFonts w:ascii="Times New Roman" w:eastAsiaTheme="minorHAnsi" w:hAnsi="Times New Roman"/>
          <w:sz w:val="28"/>
          <w:szCs w:val="28"/>
        </w:rPr>
        <w:t xml:space="preserve">Землі промисловості, транспорту, </w:t>
      </w:r>
      <w:proofErr w:type="spellStart"/>
      <w:r w:rsidRPr="00657734">
        <w:rPr>
          <w:rFonts w:ascii="Times New Roman" w:eastAsiaTheme="minorHAnsi" w:hAnsi="Times New Roman"/>
          <w:sz w:val="28"/>
          <w:szCs w:val="28"/>
        </w:rPr>
        <w:t>зв</w:t>
      </w:r>
      <w:proofErr w:type="spellEnd"/>
      <w:r w:rsidRPr="00657734">
        <w:rPr>
          <w:rFonts w:ascii="Times New Roman" w:eastAsiaTheme="minorHAnsi" w:hAnsi="Times New Roman"/>
          <w:sz w:val="28"/>
          <w:szCs w:val="28"/>
          <w:lang w:val="ru-RU"/>
        </w:rPr>
        <w:t>’</w:t>
      </w:r>
      <w:proofErr w:type="spellStart"/>
      <w:r w:rsidRPr="00657734">
        <w:rPr>
          <w:rFonts w:ascii="Times New Roman" w:eastAsiaTheme="minorHAnsi" w:hAnsi="Times New Roman"/>
          <w:sz w:val="28"/>
          <w:szCs w:val="28"/>
        </w:rPr>
        <w:t>язку</w:t>
      </w:r>
      <w:proofErr w:type="spellEnd"/>
      <w:r w:rsidRPr="00657734">
        <w:rPr>
          <w:rFonts w:ascii="Times New Roman" w:eastAsiaTheme="minorHAnsi" w:hAnsi="Times New Roman"/>
          <w:sz w:val="28"/>
          <w:szCs w:val="28"/>
        </w:rPr>
        <w:t>, енергетики, оборони та іншого призначення – 126,5 га</w:t>
      </w:r>
    </w:p>
    <w:p w:rsidR="002F1338" w:rsidRPr="00657734" w:rsidRDefault="002F1338" w:rsidP="002F1338">
      <w:pPr>
        <w:rPr>
          <w:rFonts w:ascii="Times New Roman" w:eastAsiaTheme="minorHAnsi" w:hAnsi="Times New Roman"/>
          <w:sz w:val="28"/>
          <w:szCs w:val="28"/>
        </w:rPr>
      </w:pPr>
      <w:r w:rsidRPr="00657734">
        <w:rPr>
          <w:rFonts w:ascii="Times New Roman" w:eastAsiaTheme="minorHAnsi" w:hAnsi="Times New Roman"/>
          <w:sz w:val="28"/>
          <w:szCs w:val="28"/>
        </w:rPr>
        <w:t>Землі водного фонду – 119,7552 га</w:t>
      </w:r>
    </w:p>
    <w:p w:rsidR="002F1338" w:rsidRPr="00657734" w:rsidRDefault="002F1338" w:rsidP="002F1338">
      <w:pPr>
        <w:rPr>
          <w:rFonts w:ascii="Times New Roman" w:eastAsiaTheme="minorHAnsi" w:hAnsi="Times New Roman"/>
          <w:sz w:val="28"/>
          <w:szCs w:val="28"/>
        </w:rPr>
      </w:pPr>
      <w:r w:rsidRPr="00657734">
        <w:rPr>
          <w:rFonts w:ascii="Times New Roman" w:eastAsiaTheme="minorHAnsi" w:hAnsi="Times New Roman"/>
          <w:sz w:val="28"/>
          <w:szCs w:val="28"/>
        </w:rPr>
        <w:t>Землі загального користування – 500,9569 га</w:t>
      </w:r>
    </w:p>
    <w:p w:rsidR="002F1338" w:rsidRPr="00657734" w:rsidRDefault="002F1338" w:rsidP="002F133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/>
          <w:color w:val="565656"/>
          <w:sz w:val="28"/>
          <w:szCs w:val="28"/>
          <w:lang w:eastAsia="uk-UA"/>
        </w:rPr>
      </w:pPr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 xml:space="preserve">           Землі сільськогосподарського призначення становлять в адміністративних межах територіальної громади 9 807,2 га.  </w:t>
      </w:r>
    </w:p>
    <w:p w:rsidR="002F1338" w:rsidRPr="00657734" w:rsidRDefault="002F1338" w:rsidP="002F133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/>
          <w:color w:val="565656"/>
          <w:sz w:val="28"/>
          <w:szCs w:val="28"/>
          <w:lang w:eastAsia="uk-UA"/>
        </w:rPr>
      </w:pPr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 xml:space="preserve">            Із земель сільськогосподарського призначення  перебувають у власності та користуванні фізичних осіб: 5152,9 га для ведення особистого селянського господарства: з них 513,0 га не обробляються; 1107,76 га для ведення товарного сільськогосподарського виробництва (паї): з них 450 га не обробляються.. </w:t>
      </w:r>
    </w:p>
    <w:p w:rsidR="002F1338" w:rsidRPr="00657734" w:rsidRDefault="002F1338" w:rsidP="002F133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/>
          <w:color w:val="565656"/>
          <w:sz w:val="28"/>
          <w:szCs w:val="28"/>
          <w:lang w:eastAsia="uk-UA"/>
        </w:rPr>
      </w:pPr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 xml:space="preserve"> </w:t>
      </w:r>
    </w:p>
    <w:p w:rsidR="002F1338" w:rsidRPr="00657734" w:rsidRDefault="002F1338" w:rsidP="002F133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/>
          <w:color w:val="565656"/>
          <w:sz w:val="28"/>
          <w:szCs w:val="28"/>
          <w:lang w:eastAsia="uk-UA"/>
        </w:rPr>
      </w:pPr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 xml:space="preserve">          У 2020 році наказом Головного управління </w:t>
      </w:r>
      <w:proofErr w:type="spellStart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Держгеокадастру</w:t>
      </w:r>
      <w:proofErr w:type="spellEnd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 xml:space="preserve"> в Івано-Франківській області  </w:t>
      </w:r>
      <w:proofErr w:type="spellStart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Солотвинській</w:t>
      </w:r>
      <w:proofErr w:type="spellEnd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 xml:space="preserve"> селищній раді передано 250 ділянок сільськогосподарського призначення на площу  1160,5573 га це земельні ділянки, які були за межами населених пунктів нашої громади та були </w:t>
      </w:r>
      <w:proofErr w:type="spellStart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проінвентаризовані</w:t>
      </w:r>
      <w:proofErr w:type="spellEnd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 xml:space="preserve"> Головним управлінням </w:t>
      </w:r>
      <w:proofErr w:type="spellStart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Держгеокадастру</w:t>
      </w:r>
      <w:proofErr w:type="spellEnd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 xml:space="preserve"> в Івано-франківській області.</w:t>
      </w:r>
    </w:p>
    <w:p w:rsidR="002F1338" w:rsidRPr="00657734" w:rsidRDefault="002F1338" w:rsidP="002F133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/>
          <w:color w:val="565656"/>
          <w:sz w:val="28"/>
          <w:szCs w:val="28"/>
          <w:lang w:eastAsia="uk-UA"/>
        </w:rPr>
      </w:pPr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 xml:space="preserve">       З них: 178,9269 га це земельні ділянки громадян, які користувались земельними ділянками без правовстановлюючих документів, тому що на той </w:t>
      </w:r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lastRenderedPageBreak/>
        <w:t xml:space="preserve">час розпорядником даних земель було Головне управління </w:t>
      </w:r>
      <w:proofErr w:type="spellStart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Держгеокадастру</w:t>
      </w:r>
      <w:proofErr w:type="spellEnd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 xml:space="preserve"> і громадяни не виготовили документи; </w:t>
      </w:r>
    </w:p>
    <w:p w:rsidR="002F1338" w:rsidRPr="00657734" w:rsidRDefault="002F1338" w:rsidP="002F133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/>
          <w:color w:val="565656"/>
          <w:sz w:val="28"/>
          <w:szCs w:val="28"/>
          <w:lang w:eastAsia="uk-UA"/>
        </w:rPr>
      </w:pPr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 xml:space="preserve">      411,9689 га – це земельні ділянки, які рішенням сесії були включені в перелік, право продажу оренди на які буде виставлено на земельні торги в формі аукціону, з них:</w:t>
      </w:r>
    </w:p>
    <w:p w:rsidR="002F1338" w:rsidRPr="00657734" w:rsidRDefault="002F1338" w:rsidP="002F133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/>
          <w:color w:val="565656"/>
          <w:sz w:val="28"/>
          <w:szCs w:val="28"/>
          <w:lang w:eastAsia="uk-UA"/>
        </w:rPr>
      </w:pPr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 xml:space="preserve">45,5240 га </w:t>
      </w:r>
      <w:proofErr w:type="spellStart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смт.Солотвин</w:t>
      </w:r>
      <w:proofErr w:type="spellEnd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;</w:t>
      </w:r>
    </w:p>
    <w:p w:rsidR="002F1338" w:rsidRPr="00657734" w:rsidRDefault="002F1338" w:rsidP="002F133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/>
          <w:color w:val="565656"/>
          <w:sz w:val="28"/>
          <w:szCs w:val="28"/>
          <w:lang w:eastAsia="uk-UA"/>
        </w:rPr>
      </w:pPr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 xml:space="preserve">8,5249 га </w:t>
      </w:r>
      <w:proofErr w:type="spellStart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с.Монастирчани</w:t>
      </w:r>
      <w:proofErr w:type="spellEnd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;</w:t>
      </w:r>
    </w:p>
    <w:p w:rsidR="002F1338" w:rsidRPr="00657734" w:rsidRDefault="002F1338" w:rsidP="002F133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/>
          <w:color w:val="565656"/>
          <w:sz w:val="28"/>
          <w:szCs w:val="28"/>
          <w:lang w:eastAsia="uk-UA"/>
        </w:rPr>
      </w:pPr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 xml:space="preserve">31,3677 га </w:t>
      </w:r>
      <w:proofErr w:type="spellStart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с.Кривець</w:t>
      </w:r>
      <w:proofErr w:type="spellEnd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;</w:t>
      </w:r>
    </w:p>
    <w:p w:rsidR="002F1338" w:rsidRPr="00657734" w:rsidRDefault="002F1338" w:rsidP="002F133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/>
          <w:color w:val="565656"/>
          <w:sz w:val="28"/>
          <w:szCs w:val="28"/>
          <w:lang w:eastAsia="uk-UA"/>
        </w:rPr>
      </w:pPr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 xml:space="preserve">46,2040 га </w:t>
      </w:r>
      <w:proofErr w:type="spellStart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с.Яблунька</w:t>
      </w:r>
      <w:proofErr w:type="spellEnd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;</w:t>
      </w:r>
    </w:p>
    <w:p w:rsidR="002F1338" w:rsidRPr="00657734" w:rsidRDefault="002F1338" w:rsidP="002F133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/>
          <w:color w:val="565656"/>
          <w:sz w:val="28"/>
          <w:szCs w:val="28"/>
          <w:lang w:eastAsia="uk-UA"/>
        </w:rPr>
      </w:pPr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 xml:space="preserve">108,8907 га </w:t>
      </w:r>
      <w:proofErr w:type="spellStart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с.Кричка</w:t>
      </w:r>
      <w:proofErr w:type="spellEnd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;</w:t>
      </w:r>
    </w:p>
    <w:p w:rsidR="002F1338" w:rsidRPr="00657734" w:rsidRDefault="002F1338" w:rsidP="002F133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/>
          <w:color w:val="565656"/>
          <w:sz w:val="28"/>
          <w:szCs w:val="28"/>
          <w:lang w:eastAsia="uk-UA"/>
        </w:rPr>
      </w:pPr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 xml:space="preserve">171,4576 га </w:t>
      </w:r>
      <w:proofErr w:type="spellStart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с.Бабче</w:t>
      </w:r>
      <w:proofErr w:type="spellEnd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.</w:t>
      </w:r>
    </w:p>
    <w:p w:rsidR="002F1338" w:rsidRPr="00657734" w:rsidRDefault="002F1338" w:rsidP="002F133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/>
          <w:color w:val="565656"/>
          <w:sz w:val="28"/>
          <w:szCs w:val="28"/>
          <w:lang w:eastAsia="uk-UA"/>
        </w:rPr>
      </w:pPr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 xml:space="preserve">      226,2979 га – земельні ділянки, які використовують жителі громади для випасання худоби, з них:</w:t>
      </w:r>
    </w:p>
    <w:p w:rsidR="002F1338" w:rsidRPr="00657734" w:rsidRDefault="002F1338" w:rsidP="002F133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/>
          <w:color w:val="565656"/>
          <w:sz w:val="28"/>
          <w:szCs w:val="28"/>
          <w:lang w:eastAsia="uk-UA"/>
        </w:rPr>
      </w:pPr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 xml:space="preserve">1,2905 га </w:t>
      </w:r>
      <w:proofErr w:type="spellStart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смт.Солотвин</w:t>
      </w:r>
      <w:proofErr w:type="spellEnd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;</w:t>
      </w:r>
    </w:p>
    <w:p w:rsidR="002F1338" w:rsidRPr="00657734" w:rsidRDefault="002F1338" w:rsidP="002F133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/>
          <w:color w:val="565656"/>
          <w:sz w:val="28"/>
          <w:szCs w:val="28"/>
          <w:lang w:eastAsia="uk-UA"/>
        </w:rPr>
      </w:pPr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 xml:space="preserve">23,8189 га </w:t>
      </w:r>
      <w:proofErr w:type="spellStart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с.Монастирчани</w:t>
      </w:r>
      <w:proofErr w:type="spellEnd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;</w:t>
      </w:r>
    </w:p>
    <w:p w:rsidR="002F1338" w:rsidRPr="00657734" w:rsidRDefault="002F1338" w:rsidP="002F133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/>
          <w:color w:val="565656"/>
          <w:sz w:val="28"/>
          <w:szCs w:val="28"/>
          <w:lang w:eastAsia="uk-UA"/>
        </w:rPr>
      </w:pPr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 xml:space="preserve">29,7647 га </w:t>
      </w:r>
      <w:proofErr w:type="spellStart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с.Кривець</w:t>
      </w:r>
      <w:proofErr w:type="spellEnd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;</w:t>
      </w:r>
    </w:p>
    <w:p w:rsidR="002F1338" w:rsidRPr="00657734" w:rsidRDefault="002F1338" w:rsidP="002F133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/>
          <w:color w:val="565656"/>
          <w:sz w:val="28"/>
          <w:szCs w:val="28"/>
          <w:lang w:eastAsia="uk-UA"/>
        </w:rPr>
      </w:pPr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 xml:space="preserve">15,9788 га </w:t>
      </w:r>
      <w:proofErr w:type="spellStart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с.Яблунька</w:t>
      </w:r>
      <w:proofErr w:type="spellEnd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;</w:t>
      </w:r>
    </w:p>
    <w:p w:rsidR="002F1338" w:rsidRPr="00657734" w:rsidRDefault="002F1338" w:rsidP="002F133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/>
          <w:color w:val="565656"/>
          <w:sz w:val="28"/>
          <w:szCs w:val="28"/>
          <w:lang w:eastAsia="uk-UA"/>
        </w:rPr>
      </w:pPr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 xml:space="preserve">45,5807 га </w:t>
      </w:r>
      <w:proofErr w:type="spellStart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с.Кричка</w:t>
      </w:r>
      <w:proofErr w:type="spellEnd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;</w:t>
      </w:r>
    </w:p>
    <w:p w:rsidR="002F1338" w:rsidRPr="00657734" w:rsidRDefault="002F1338" w:rsidP="002F133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/>
          <w:color w:val="565656"/>
          <w:sz w:val="28"/>
          <w:szCs w:val="28"/>
          <w:lang w:eastAsia="uk-UA"/>
        </w:rPr>
      </w:pPr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 xml:space="preserve">49,8586 га </w:t>
      </w:r>
      <w:proofErr w:type="spellStart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с.Маркова</w:t>
      </w:r>
      <w:proofErr w:type="spellEnd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;</w:t>
      </w:r>
    </w:p>
    <w:p w:rsidR="002F1338" w:rsidRPr="00657734" w:rsidRDefault="002F1338" w:rsidP="002F133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/>
          <w:color w:val="565656"/>
          <w:sz w:val="28"/>
          <w:szCs w:val="28"/>
          <w:lang w:eastAsia="uk-UA"/>
        </w:rPr>
      </w:pPr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 xml:space="preserve">34,1487 га </w:t>
      </w:r>
      <w:proofErr w:type="spellStart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с.Бабче</w:t>
      </w:r>
      <w:proofErr w:type="spellEnd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;</w:t>
      </w:r>
    </w:p>
    <w:p w:rsidR="002F1338" w:rsidRPr="00657734" w:rsidRDefault="002F1338" w:rsidP="002F133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/>
          <w:color w:val="565656"/>
          <w:sz w:val="28"/>
          <w:szCs w:val="28"/>
          <w:lang w:eastAsia="uk-UA"/>
        </w:rPr>
      </w:pPr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 xml:space="preserve">11,0455га </w:t>
      </w:r>
      <w:proofErr w:type="spellStart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с.Гута</w:t>
      </w:r>
      <w:proofErr w:type="spellEnd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, 28,8960 га с. Стара Гута.</w:t>
      </w:r>
    </w:p>
    <w:p w:rsidR="002F1338" w:rsidRPr="00657734" w:rsidRDefault="002F1338" w:rsidP="002F133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/>
          <w:color w:val="565656"/>
          <w:sz w:val="28"/>
          <w:szCs w:val="28"/>
          <w:lang w:eastAsia="uk-UA"/>
        </w:rPr>
      </w:pPr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 xml:space="preserve">      104,562 га – це земельні ділянки, які заросли чагарниками, з них:</w:t>
      </w:r>
    </w:p>
    <w:p w:rsidR="002F1338" w:rsidRPr="00657734" w:rsidRDefault="002F1338" w:rsidP="002F133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/>
          <w:color w:val="565656"/>
          <w:sz w:val="28"/>
          <w:szCs w:val="28"/>
          <w:lang w:eastAsia="uk-UA"/>
        </w:rPr>
      </w:pPr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 xml:space="preserve">33,5699 га </w:t>
      </w:r>
      <w:proofErr w:type="spellStart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с.Кривець</w:t>
      </w:r>
      <w:proofErr w:type="spellEnd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;</w:t>
      </w:r>
    </w:p>
    <w:p w:rsidR="002F1338" w:rsidRPr="00657734" w:rsidRDefault="002F1338" w:rsidP="002F133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/>
          <w:color w:val="565656"/>
          <w:sz w:val="28"/>
          <w:szCs w:val="28"/>
          <w:lang w:eastAsia="uk-UA"/>
        </w:rPr>
      </w:pPr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 xml:space="preserve">7,5860 га </w:t>
      </w:r>
      <w:proofErr w:type="spellStart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с.Яблунька</w:t>
      </w:r>
      <w:proofErr w:type="spellEnd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;</w:t>
      </w:r>
    </w:p>
    <w:p w:rsidR="002F1338" w:rsidRPr="00657734" w:rsidRDefault="002F1338" w:rsidP="002F133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/>
          <w:color w:val="565656"/>
          <w:sz w:val="28"/>
          <w:szCs w:val="28"/>
          <w:lang w:eastAsia="uk-UA"/>
        </w:rPr>
      </w:pPr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 xml:space="preserve">15,7776 га </w:t>
      </w:r>
      <w:proofErr w:type="spellStart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с.Маркова</w:t>
      </w:r>
      <w:proofErr w:type="spellEnd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:</w:t>
      </w:r>
    </w:p>
    <w:p w:rsidR="002F1338" w:rsidRPr="00657734" w:rsidRDefault="002F1338" w:rsidP="002F133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/>
          <w:color w:val="565656"/>
          <w:sz w:val="28"/>
          <w:szCs w:val="28"/>
          <w:lang w:eastAsia="uk-UA"/>
        </w:rPr>
      </w:pPr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 xml:space="preserve">32,8125 га </w:t>
      </w:r>
      <w:proofErr w:type="spellStart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с.Кричка</w:t>
      </w:r>
      <w:proofErr w:type="spellEnd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;</w:t>
      </w:r>
    </w:p>
    <w:p w:rsidR="002F1338" w:rsidRPr="00657734" w:rsidRDefault="002F1338" w:rsidP="002F133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/>
          <w:color w:val="565656"/>
          <w:sz w:val="28"/>
          <w:szCs w:val="28"/>
          <w:lang w:eastAsia="uk-UA"/>
        </w:rPr>
      </w:pPr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 xml:space="preserve">14,816 га </w:t>
      </w:r>
      <w:proofErr w:type="spellStart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с.Манява</w:t>
      </w:r>
      <w:proofErr w:type="spellEnd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.</w:t>
      </w:r>
    </w:p>
    <w:p w:rsidR="002F1338" w:rsidRPr="00657734" w:rsidRDefault="002F1338" w:rsidP="002F133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/>
          <w:color w:val="565656"/>
          <w:sz w:val="28"/>
          <w:szCs w:val="28"/>
          <w:lang w:eastAsia="uk-UA"/>
        </w:rPr>
      </w:pPr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 xml:space="preserve">      238,8016 га передані в оренду з них:</w:t>
      </w:r>
    </w:p>
    <w:p w:rsidR="002F1338" w:rsidRPr="00657734" w:rsidRDefault="002F1338" w:rsidP="002F133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/>
          <w:color w:val="565656"/>
          <w:sz w:val="28"/>
          <w:szCs w:val="28"/>
          <w:lang w:eastAsia="uk-UA"/>
        </w:rPr>
      </w:pPr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 xml:space="preserve">       Головним управлінням </w:t>
      </w:r>
      <w:proofErr w:type="spellStart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Держгеокадастру</w:t>
      </w:r>
      <w:proofErr w:type="spellEnd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 xml:space="preserve"> у 2020 році було проведено торги в формі аукціону на право продажу права оренди земельних ділянок сільськогосподарського призначення на площу 80,6668 га та укладено 9 договорів оренди, орендна плата становить 75 440,35 грн.</w:t>
      </w:r>
    </w:p>
    <w:p w:rsidR="002F1338" w:rsidRPr="00657734" w:rsidRDefault="002F1338" w:rsidP="002F1338">
      <w:pPr>
        <w:spacing w:after="0"/>
        <w:ind w:hanging="72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657734">
        <w:rPr>
          <w:rFonts w:ascii="Times New Roman" w:eastAsiaTheme="minorHAnsi" w:hAnsi="Times New Roman"/>
          <w:sz w:val="28"/>
          <w:szCs w:val="28"/>
        </w:rPr>
        <w:t xml:space="preserve">                 А також відповідно до Закону України №2145-ІХ «Про внесення змін до деяких законодавчих актів України щодо створення умов для забезпечення продовольчої безпеки в умовах воєнного стану» підготовлено 9 проектів рішень сесій селищної ради. Виготовлено сім Технічних документацій із землеустрою щодо проведення інвентаризації земель комунальної форми власності з метою передачі в оренду для ведення товарного сільськогосподарського виробництва на площу 64,1564 га. Укладено п</w:t>
      </w:r>
      <w:r w:rsidRPr="00657734">
        <w:rPr>
          <w:rFonts w:ascii="Times New Roman" w:eastAsiaTheme="minorHAnsi" w:hAnsi="Times New Roman"/>
          <w:sz w:val="28"/>
          <w:szCs w:val="28"/>
          <w:lang w:val="ru-RU"/>
        </w:rPr>
        <w:t>’</w:t>
      </w:r>
      <w:r w:rsidRPr="00657734">
        <w:rPr>
          <w:rFonts w:ascii="Times New Roman" w:eastAsiaTheme="minorHAnsi" w:hAnsi="Times New Roman"/>
          <w:sz w:val="28"/>
          <w:szCs w:val="28"/>
        </w:rPr>
        <w:t>ять Договорів оренди для ведення товарного сільськогосподарського виробництва на площу 147,1254 га, орендна плата складає  307 044,82 грн.</w:t>
      </w:r>
      <w:r w:rsidRPr="00657734">
        <w:rPr>
          <w:rFonts w:asciiTheme="minorHAnsi" w:eastAsiaTheme="minorHAnsi" w:hAnsiTheme="minorHAnsi" w:cstheme="minorBidi"/>
          <w:sz w:val="28"/>
          <w:szCs w:val="28"/>
        </w:rPr>
        <w:t>,</w:t>
      </w:r>
      <w:r w:rsidRPr="00657734">
        <w:rPr>
          <w:rFonts w:ascii="Times New Roman" w:eastAsiaTheme="minorHAnsi" w:hAnsi="Times New Roman"/>
          <w:sz w:val="28"/>
          <w:szCs w:val="28"/>
        </w:rPr>
        <w:t xml:space="preserve"> в тому числі </w:t>
      </w:r>
      <w:proofErr w:type="spellStart"/>
      <w:r w:rsidRPr="00657734">
        <w:rPr>
          <w:rFonts w:ascii="Times New Roman" w:eastAsiaTheme="minorHAnsi" w:hAnsi="Times New Roman"/>
          <w:sz w:val="28"/>
          <w:szCs w:val="28"/>
        </w:rPr>
        <w:t>ТзОВ</w:t>
      </w:r>
      <w:proofErr w:type="spellEnd"/>
      <w:r w:rsidRPr="00657734">
        <w:rPr>
          <w:rFonts w:ascii="Times New Roman" w:eastAsiaTheme="minorHAnsi" w:hAnsi="Times New Roman"/>
          <w:sz w:val="28"/>
          <w:szCs w:val="28"/>
        </w:rPr>
        <w:t xml:space="preserve"> «ПОЛЕ-ІФ» </w:t>
      </w:r>
      <w:r w:rsidRPr="00657734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657734">
        <w:rPr>
          <w:rFonts w:ascii="Times New Roman" w:eastAsiaTheme="minorHAnsi" w:hAnsi="Times New Roman"/>
          <w:sz w:val="28"/>
          <w:szCs w:val="28"/>
        </w:rPr>
        <w:t>120,9218 га</w:t>
      </w:r>
      <w:r w:rsidRPr="00657734">
        <w:rPr>
          <w:rFonts w:asciiTheme="minorHAnsi" w:eastAsiaTheme="minorHAnsi" w:hAnsiTheme="minorHAnsi" w:cstheme="minorBidi"/>
          <w:sz w:val="28"/>
          <w:szCs w:val="28"/>
        </w:rPr>
        <w:t xml:space="preserve">,  </w:t>
      </w:r>
    </w:p>
    <w:p w:rsidR="002F1338" w:rsidRPr="00657734" w:rsidRDefault="002F1338" w:rsidP="002F133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57734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 xml:space="preserve">орендна плата становить - 252 358,54 грн. в рік; </w:t>
      </w:r>
      <w:proofErr w:type="spellStart"/>
      <w:r w:rsidRPr="00657734">
        <w:rPr>
          <w:rFonts w:ascii="Times New Roman" w:eastAsia="Times New Roman" w:hAnsi="Times New Roman"/>
          <w:sz w:val="28"/>
          <w:szCs w:val="28"/>
          <w:lang w:eastAsia="uk-UA"/>
        </w:rPr>
        <w:t>ТзОВ</w:t>
      </w:r>
      <w:proofErr w:type="spellEnd"/>
      <w:r w:rsidRPr="00657734">
        <w:rPr>
          <w:rFonts w:ascii="Times New Roman" w:eastAsia="Times New Roman" w:hAnsi="Times New Roman"/>
          <w:sz w:val="28"/>
          <w:szCs w:val="28"/>
          <w:lang w:eastAsia="uk-UA"/>
        </w:rPr>
        <w:t xml:space="preserve"> ВЕРХОВИНА –БВ –   26,2038 га,  орендна плата – 54 686,28 грн. в рік.</w:t>
      </w:r>
    </w:p>
    <w:p w:rsidR="002F1338" w:rsidRPr="00657734" w:rsidRDefault="002F1338" w:rsidP="002F133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/>
          <w:color w:val="565656"/>
          <w:sz w:val="28"/>
          <w:szCs w:val="28"/>
          <w:lang w:eastAsia="uk-UA"/>
        </w:rPr>
      </w:pPr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 xml:space="preserve">         Хоча земельні ділянки передались орендарям у травні – червні місяці, вони справились із завданням виорали, посіяли 34,0227 га гречки та 103,1029 га сої., та зібрали урожай 150 т сої та 55 т гречки чим доказали що земля    сільськогосподарського призначення, яка не оброблялась роками  придатна для посіву та має оброблятись.</w:t>
      </w:r>
    </w:p>
    <w:p w:rsidR="002F1338" w:rsidRPr="00657734" w:rsidRDefault="002F1338" w:rsidP="002F133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/>
          <w:color w:val="565656"/>
          <w:sz w:val="28"/>
          <w:szCs w:val="28"/>
          <w:lang w:eastAsia="uk-UA"/>
        </w:rPr>
      </w:pPr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 xml:space="preserve">        10 га землі в </w:t>
      </w:r>
      <w:proofErr w:type="spellStart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с.Бабче</w:t>
      </w:r>
      <w:proofErr w:type="spellEnd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 xml:space="preserve"> ,які передані в оренду не були розорані через спротив жителів </w:t>
      </w:r>
      <w:proofErr w:type="spellStart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с.Бабче</w:t>
      </w:r>
      <w:proofErr w:type="spellEnd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 xml:space="preserve">. Також виготовлено технічну документацію з інвентаризації земель для ведення товарного сільськогосподарського виробництва на земельні дві ділянки площею 6,2533 га та 10,9907 га в урочищі «Луги» </w:t>
      </w:r>
      <w:proofErr w:type="spellStart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смт</w:t>
      </w:r>
      <w:proofErr w:type="spellEnd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 xml:space="preserve">. Солотвин та питання про передачу в оренду для ведення товарного сільськогосподарського призначення терміном на один рік даних земельних ділянок було знято з розгляду питань у зв’язку із зривом проведення засідання постійної комісії з питань земельних відносин, будівництва, архітектури та екології жителями </w:t>
      </w:r>
      <w:proofErr w:type="spellStart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с.Раковець</w:t>
      </w:r>
      <w:proofErr w:type="spellEnd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 xml:space="preserve">. Також було підготовлено проект рішення на виготовлення технічної документації з інвентаризації земель для ведення товарного сільськогосподарського виробництва земельної ділянки орієнтовною площею 20,0 га в урочищі «Під Борами» в </w:t>
      </w:r>
      <w:proofErr w:type="spellStart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с.Богрівка</w:t>
      </w:r>
      <w:proofErr w:type="spellEnd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 xml:space="preserve"> , який також був виключений з   порядку денного сесії селищної ради за зверненням депутата Солотвинської селищної ради. В результаті цього бюджет селищної ради недоотримав близько 80 тис. грн.., а також близько 70 т врожаю сільськогосподарської продукції.</w:t>
      </w:r>
    </w:p>
    <w:p w:rsidR="002F1338" w:rsidRPr="00657734" w:rsidRDefault="002F1338" w:rsidP="002F1338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773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Також на території </w:t>
      </w:r>
      <w:proofErr w:type="spellStart"/>
      <w:r w:rsidRPr="00657734">
        <w:rPr>
          <w:rFonts w:ascii="Times New Roman" w:eastAsia="Times New Roman" w:hAnsi="Times New Roman"/>
          <w:sz w:val="28"/>
          <w:szCs w:val="28"/>
          <w:lang w:eastAsia="ru-RU"/>
        </w:rPr>
        <w:t>Гутянського</w:t>
      </w:r>
      <w:proofErr w:type="spellEnd"/>
      <w:r w:rsidRPr="00657734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старостинського округу є 86  земельних ділянок комунальної власності сільськогосподарського призначення на площу 26 га, на  які було подано біля 500 заяв від жителів </w:t>
      </w:r>
      <w:proofErr w:type="spellStart"/>
      <w:r w:rsidRPr="00657734">
        <w:rPr>
          <w:rFonts w:ascii="Times New Roman" w:eastAsia="Times New Roman" w:hAnsi="Times New Roman"/>
          <w:sz w:val="28"/>
          <w:szCs w:val="28"/>
          <w:lang w:eastAsia="ru-RU"/>
        </w:rPr>
        <w:t>с.Гута</w:t>
      </w:r>
      <w:proofErr w:type="spellEnd"/>
      <w:r w:rsidRPr="00657734">
        <w:rPr>
          <w:rFonts w:ascii="Times New Roman" w:eastAsia="Times New Roman" w:hAnsi="Times New Roman"/>
          <w:sz w:val="28"/>
          <w:szCs w:val="28"/>
          <w:lang w:eastAsia="ru-RU"/>
        </w:rPr>
        <w:t xml:space="preserve"> та ще 45 від жителів інших населених пунктів. Дані земельні ділянки межують з землями національного природного парку «</w:t>
      </w:r>
      <w:proofErr w:type="spellStart"/>
      <w:r w:rsidRPr="00657734">
        <w:rPr>
          <w:rFonts w:ascii="Times New Roman" w:eastAsia="Times New Roman" w:hAnsi="Times New Roman"/>
          <w:sz w:val="28"/>
          <w:szCs w:val="28"/>
          <w:lang w:eastAsia="ru-RU"/>
        </w:rPr>
        <w:t>Синьогора».Тому</w:t>
      </w:r>
      <w:proofErr w:type="spellEnd"/>
      <w:r w:rsidRPr="00657734">
        <w:rPr>
          <w:rFonts w:ascii="Times New Roman" w:eastAsia="Times New Roman" w:hAnsi="Times New Roman"/>
          <w:sz w:val="28"/>
          <w:szCs w:val="28"/>
          <w:lang w:eastAsia="ru-RU"/>
        </w:rPr>
        <w:t xml:space="preserve"> до   моменту винесення меж в натурі на місцевості   Національного природного парку «</w:t>
      </w:r>
      <w:proofErr w:type="spellStart"/>
      <w:r w:rsidRPr="00657734">
        <w:rPr>
          <w:rFonts w:ascii="Times New Roman" w:eastAsia="Times New Roman" w:hAnsi="Times New Roman"/>
          <w:sz w:val="28"/>
          <w:szCs w:val="28"/>
          <w:lang w:eastAsia="ru-RU"/>
        </w:rPr>
        <w:t>Синьогора</w:t>
      </w:r>
      <w:proofErr w:type="spellEnd"/>
      <w:r w:rsidRPr="00657734">
        <w:rPr>
          <w:rFonts w:ascii="Times New Roman" w:eastAsia="Times New Roman" w:hAnsi="Times New Roman"/>
          <w:sz w:val="28"/>
          <w:szCs w:val="28"/>
          <w:lang w:eastAsia="ru-RU"/>
        </w:rPr>
        <w:t xml:space="preserve">» де буде чітко розмежовано землі природо-заповідного фонду та землі комунальної власності сільськогосподарського призначення, заяви про надання дозволів на розроблення проектів землеустрою щодо відведення даних земельних ділянок у власність </w:t>
      </w:r>
      <w:proofErr w:type="spellStart"/>
      <w:r w:rsidRPr="00657734">
        <w:rPr>
          <w:rFonts w:ascii="Times New Roman" w:eastAsia="Times New Roman" w:hAnsi="Times New Roman"/>
          <w:sz w:val="28"/>
          <w:szCs w:val="28"/>
          <w:lang w:eastAsia="ru-RU"/>
        </w:rPr>
        <w:t>Солотвинською</w:t>
      </w:r>
      <w:proofErr w:type="spellEnd"/>
      <w:r w:rsidRPr="0065773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селищною радою розглядатись не буде.</w:t>
      </w:r>
    </w:p>
    <w:p w:rsidR="002F1338" w:rsidRPr="00657734" w:rsidRDefault="002F1338" w:rsidP="002F1338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773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Землі територій та об’єктів природо-заповідного фонду використовуються з урахуванням обмежень у їх використанні, визначених відповідно до Закону України «Про природо-заповідний фонд України» та положенням про ці території, об’єкти. </w:t>
      </w:r>
    </w:p>
    <w:p w:rsidR="002F1338" w:rsidRPr="00657734" w:rsidRDefault="002F1338" w:rsidP="002F1338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773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Землі територій та об</w:t>
      </w:r>
      <w:r w:rsidRPr="00657734">
        <w:rPr>
          <w:rFonts w:ascii="Times New Roman" w:eastAsia="Times New Roman" w:hAnsi="Times New Roman"/>
          <w:sz w:val="28"/>
          <w:szCs w:val="28"/>
          <w:lang w:val="ru-RU" w:eastAsia="ru-RU"/>
        </w:rPr>
        <w:t>’</w:t>
      </w:r>
      <w:proofErr w:type="spellStart"/>
      <w:r w:rsidRPr="00657734">
        <w:rPr>
          <w:rFonts w:ascii="Times New Roman" w:eastAsia="Times New Roman" w:hAnsi="Times New Roman"/>
          <w:sz w:val="28"/>
          <w:szCs w:val="28"/>
          <w:lang w:eastAsia="ru-RU"/>
        </w:rPr>
        <w:t>єктів</w:t>
      </w:r>
      <w:proofErr w:type="spellEnd"/>
      <w:r w:rsidRPr="00657734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природо-заповідного фонду використовуються з урахуванням обмежень у їх використанні. Особливий режим охорони, відтворення і використання земель територій та об’єктів природо-заповідного фонду поширюється на всі розташовані в межах таких територій та об’єктів землі та земельні ділянки незалежно від форми власності та цільового призначення (ст.46-1 Земельного кодексу України).</w:t>
      </w:r>
    </w:p>
    <w:p w:rsidR="002F1338" w:rsidRPr="00657734" w:rsidRDefault="002F1338" w:rsidP="002F133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/>
          <w:color w:val="565656"/>
          <w:sz w:val="28"/>
          <w:szCs w:val="28"/>
          <w:lang w:eastAsia="uk-UA"/>
        </w:rPr>
      </w:pPr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 xml:space="preserve"> </w:t>
      </w:r>
    </w:p>
    <w:p w:rsidR="002F1338" w:rsidRPr="00657734" w:rsidRDefault="002F1338" w:rsidP="002F133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57734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 xml:space="preserve"> </w:t>
      </w:r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 xml:space="preserve">      Із  земель громадської та житлової забудови у власності та користуванні громадян перебуває 1340,3882 га. </w:t>
      </w:r>
    </w:p>
    <w:p w:rsidR="002F1338" w:rsidRPr="00657734" w:rsidRDefault="002F1338" w:rsidP="002F133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/>
          <w:color w:val="565656"/>
          <w:sz w:val="28"/>
          <w:szCs w:val="28"/>
          <w:lang w:eastAsia="uk-UA"/>
        </w:rPr>
      </w:pPr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Для обслуговування  закладів освіти – 35,1619 га.</w:t>
      </w:r>
    </w:p>
    <w:p w:rsidR="002F1338" w:rsidRPr="00657734" w:rsidRDefault="002F1338" w:rsidP="002F133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/>
          <w:color w:val="565656"/>
          <w:sz w:val="28"/>
          <w:szCs w:val="28"/>
          <w:lang w:eastAsia="uk-UA"/>
        </w:rPr>
      </w:pPr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 xml:space="preserve">Правовстановлюючі документи на землю виготовлені на всі заклади освіти крім двох дитячих дошкільних закладів в </w:t>
      </w:r>
      <w:proofErr w:type="spellStart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смт</w:t>
      </w:r>
      <w:proofErr w:type="spellEnd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 xml:space="preserve">. Солотвин. </w:t>
      </w:r>
    </w:p>
    <w:p w:rsidR="002F1338" w:rsidRPr="00657734" w:rsidRDefault="002F1338" w:rsidP="002F133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/>
          <w:color w:val="565656"/>
          <w:sz w:val="28"/>
          <w:szCs w:val="28"/>
          <w:lang w:eastAsia="uk-UA"/>
        </w:rPr>
      </w:pPr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Для обслуговування медичних закладів  – 5,5667 га;</w:t>
      </w:r>
    </w:p>
    <w:p w:rsidR="002F1338" w:rsidRPr="00657734" w:rsidRDefault="002F1338" w:rsidP="002F133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/>
          <w:color w:val="565656"/>
          <w:sz w:val="28"/>
          <w:szCs w:val="28"/>
          <w:lang w:eastAsia="uk-UA"/>
        </w:rPr>
      </w:pPr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 xml:space="preserve">Правовстановлюючі документи виготовлені на земельну ділянку для обслуговування паліативного відділення та обслуговування </w:t>
      </w:r>
      <w:proofErr w:type="spellStart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Марківської</w:t>
      </w:r>
      <w:proofErr w:type="spellEnd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 xml:space="preserve"> амбулаторії .</w:t>
      </w:r>
    </w:p>
    <w:p w:rsidR="002F1338" w:rsidRPr="00657734" w:rsidRDefault="002F1338" w:rsidP="002F133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/>
          <w:color w:val="565656"/>
          <w:sz w:val="28"/>
          <w:szCs w:val="28"/>
          <w:lang w:eastAsia="uk-UA"/>
        </w:rPr>
      </w:pPr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Для обслуговування закладів культури – 3,6930 га - документи не виготовлені.</w:t>
      </w:r>
    </w:p>
    <w:p w:rsidR="002F1338" w:rsidRPr="00657734" w:rsidRDefault="002F1338" w:rsidP="002F133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/>
          <w:color w:val="565656"/>
          <w:sz w:val="28"/>
          <w:szCs w:val="28"/>
          <w:lang w:eastAsia="uk-UA"/>
        </w:rPr>
      </w:pPr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Для обслуговування релігійних організацій – 9,6576 га;</w:t>
      </w:r>
    </w:p>
    <w:p w:rsidR="002F1338" w:rsidRPr="00657734" w:rsidRDefault="002F1338" w:rsidP="002F133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/>
          <w:color w:val="565656"/>
          <w:sz w:val="28"/>
          <w:szCs w:val="28"/>
          <w:lang w:eastAsia="uk-UA"/>
        </w:rPr>
      </w:pPr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Правовстановлюючі документи виготовлені для обслуговування 7 релігійних організацій.</w:t>
      </w:r>
    </w:p>
    <w:p w:rsidR="002F1338" w:rsidRPr="00657734" w:rsidRDefault="002F1338" w:rsidP="002F133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/>
          <w:color w:val="565656"/>
          <w:sz w:val="28"/>
          <w:szCs w:val="28"/>
          <w:lang w:eastAsia="uk-UA"/>
        </w:rPr>
      </w:pPr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Для обслуговування адміністративних будівель селищної ради – 2,1578 га.</w:t>
      </w:r>
    </w:p>
    <w:p w:rsidR="002F1338" w:rsidRPr="00657734" w:rsidRDefault="002F1338" w:rsidP="002F133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/>
          <w:color w:val="565656"/>
          <w:sz w:val="28"/>
          <w:szCs w:val="28"/>
          <w:lang w:eastAsia="uk-UA"/>
        </w:rPr>
      </w:pPr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 xml:space="preserve">Правовстановлюючі документи виготовлені на </w:t>
      </w:r>
      <w:proofErr w:type="spellStart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адмінбудівлю</w:t>
      </w:r>
      <w:proofErr w:type="spellEnd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 xml:space="preserve"> в </w:t>
      </w:r>
      <w:proofErr w:type="spellStart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смт.Солотвин</w:t>
      </w:r>
      <w:proofErr w:type="spellEnd"/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>.</w:t>
      </w:r>
    </w:p>
    <w:p w:rsidR="002F1338" w:rsidRPr="00657734" w:rsidRDefault="002F1338" w:rsidP="002F133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/>
          <w:color w:val="565656"/>
          <w:sz w:val="28"/>
          <w:szCs w:val="28"/>
          <w:lang w:eastAsia="uk-UA"/>
        </w:rPr>
      </w:pPr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 xml:space="preserve">        На території селищної ради зареєстровано всього </w:t>
      </w:r>
      <w:r w:rsidRPr="00657734">
        <w:rPr>
          <w:rFonts w:ascii="Times New Roman" w:eastAsia="Times New Roman" w:hAnsi="Times New Roman"/>
          <w:color w:val="565656"/>
          <w:sz w:val="28"/>
          <w:szCs w:val="28"/>
          <w:lang w:val="ru-RU" w:eastAsia="uk-UA"/>
        </w:rPr>
        <w:t>150</w:t>
      </w:r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 xml:space="preserve"> договорів оренди земельних ділянок.  З них  </w:t>
      </w:r>
      <w:r w:rsidRPr="00657734">
        <w:rPr>
          <w:rFonts w:ascii="Times New Roman" w:eastAsia="Times New Roman" w:hAnsi="Times New Roman"/>
          <w:color w:val="565656"/>
          <w:sz w:val="28"/>
          <w:szCs w:val="28"/>
          <w:lang w:val="ru-RU" w:eastAsia="uk-UA"/>
        </w:rPr>
        <w:t>36</w:t>
      </w:r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 xml:space="preserve"> з юридичними особами на земельні ділянки несільськогосподарського призначення, на площу – 29,9757 га, орендна плата становить 1 234 036,47 грн. 51 договір оренди на земельні ділянки несільськогосподарського призначення з фізичними особами на площу</w:t>
      </w:r>
      <w:r w:rsidRPr="00657734">
        <w:rPr>
          <w:rFonts w:ascii="Times New Roman" w:eastAsia="Times New Roman" w:hAnsi="Times New Roman"/>
          <w:color w:val="565656"/>
          <w:sz w:val="28"/>
          <w:szCs w:val="28"/>
          <w:lang w:val="ru-RU" w:eastAsia="uk-UA"/>
        </w:rPr>
        <w:t xml:space="preserve"> 7,2491</w:t>
      </w:r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 xml:space="preserve">га, орендна плата становить 407 383,16 грн.    </w:t>
      </w:r>
    </w:p>
    <w:p w:rsidR="002F1338" w:rsidRPr="00657734" w:rsidRDefault="002F1338" w:rsidP="002F133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/>
          <w:color w:val="565656"/>
          <w:sz w:val="28"/>
          <w:szCs w:val="28"/>
          <w:lang w:eastAsia="uk-UA"/>
        </w:rPr>
      </w:pPr>
      <w:r w:rsidRPr="00657734">
        <w:rPr>
          <w:rFonts w:ascii="Times New Roman" w:eastAsia="Times New Roman" w:hAnsi="Times New Roman"/>
          <w:color w:val="565656"/>
          <w:sz w:val="28"/>
          <w:szCs w:val="28"/>
          <w:lang w:eastAsia="uk-UA"/>
        </w:rPr>
        <w:t xml:space="preserve">           </w:t>
      </w:r>
      <w:r w:rsidRPr="00657734">
        <w:rPr>
          <w:rFonts w:ascii="Arial" w:eastAsia="Times New Roman" w:hAnsi="Arial" w:cs="Arial"/>
          <w:color w:val="565656"/>
          <w:sz w:val="24"/>
          <w:szCs w:val="24"/>
          <w:lang w:eastAsia="uk-UA"/>
        </w:rPr>
        <w:t xml:space="preserve">      </w:t>
      </w:r>
    </w:p>
    <w:p w:rsidR="002F1338" w:rsidRPr="00657734" w:rsidRDefault="002F1338" w:rsidP="002F1338">
      <w:pPr>
        <w:spacing w:after="0"/>
        <w:ind w:hanging="72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657734">
        <w:rPr>
          <w:rFonts w:ascii="Times New Roman" w:eastAsiaTheme="minorHAnsi" w:hAnsi="Times New Roman"/>
          <w:sz w:val="28"/>
          <w:szCs w:val="28"/>
        </w:rPr>
        <w:t xml:space="preserve">                 Укладено 39 договорів оренди на земельні ділянки для ведення товарного сільськогосподарського виробництва (</w:t>
      </w:r>
      <w:proofErr w:type="spellStart"/>
      <w:r w:rsidRPr="00657734">
        <w:rPr>
          <w:rFonts w:ascii="Times New Roman" w:eastAsiaTheme="minorHAnsi" w:hAnsi="Times New Roman"/>
          <w:sz w:val="28"/>
          <w:szCs w:val="28"/>
        </w:rPr>
        <w:t>невитребувані</w:t>
      </w:r>
      <w:proofErr w:type="spellEnd"/>
      <w:r w:rsidRPr="00657734">
        <w:rPr>
          <w:rFonts w:ascii="Times New Roman" w:eastAsiaTheme="minorHAnsi" w:hAnsi="Times New Roman"/>
          <w:sz w:val="28"/>
          <w:szCs w:val="28"/>
        </w:rPr>
        <w:t xml:space="preserve"> паї) на площу 10,9077 га.               </w:t>
      </w:r>
    </w:p>
    <w:p w:rsidR="002F1338" w:rsidRPr="00657734" w:rsidRDefault="002F1338" w:rsidP="002F1338">
      <w:pPr>
        <w:spacing w:after="0"/>
        <w:ind w:hanging="720"/>
        <w:contextualSpacing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657734">
        <w:rPr>
          <w:rFonts w:ascii="Times New Roman" w:eastAsiaTheme="minorHAnsi" w:hAnsi="Times New Roman"/>
          <w:sz w:val="28"/>
          <w:szCs w:val="28"/>
        </w:rPr>
        <w:t xml:space="preserve">          Всього орендна плата за землю становить: 1 948 464,45 грн.       </w:t>
      </w:r>
    </w:p>
    <w:p w:rsidR="002F1338" w:rsidRPr="00657734" w:rsidRDefault="002F1338" w:rsidP="002F1338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657734">
        <w:rPr>
          <w:rFonts w:ascii="Times New Roman" w:eastAsiaTheme="minorHAnsi" w:hAnsi="Times New Roman"/>
          <w:sz w:val="28"/>
          <w:szCs w:val="28"/>
        </w:rPr>
        <w:t xml:space="preserve">        Для того щоб знати більш точні площі земель по всіх категоріях та землекористувачах потрібно робити інвентаризацію земель цілої територіальної громади.</w:t>
      </w:r>
    </w:p>
    <w:p w:rsidR="002F1338" w:rsidRPr="00657734" w:rsidRDefault="002F1338" w:rsidP="002F1338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773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</w:p>
    <w:p w:rsidR="002F1338" w:rsidRPr="00657734" w:rsidRDefault="002F1338" w:rsidP="002F1338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657734">
        <w:rPr>
          <w:rFonts w:ascii="Times New Roman" w:eastAsiaTheme="minorHAnsi" w:hAnsi="Times New Roman"/>
          <w:sz w:val="28"/>
          <w:szCs w:val="28"/>
        </w:rPr>
        <w:t xml:space="preserve">       Провівши аналіз використання земель стає зрозуміло, що потрібно працювати і надалі над тим щоби земля використовувалась ефективно та за цільовим призначенням,  по максимуму залучити земельні ділянки сільськогосподарського призначення для обробітку  передавши їх в оренду. </w:t>
      </w:r>
    </w:p>
    <w:p w:rsidR="002F1338" w:rsidRPr="00657734" w:rsidRDefault="002F1338" w:rsidP="002F1338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657734">
        <w:rPr>
          <w:rFonts w:ascii="Times New Roman" w:eastAsiaTheme="minorHAnsi" w:hAnsi="Times New Roman"/>
          <w:sz w:val="28"/>
          <w:szCs w:val="28"/>
        </w:rPr>
        <w:t xml:space="preserve">      А також  виготовити технічну документацію з поновлення нормативної грошової оцінки населених пунктів, проекти землеустрою щодо встановлення (зміни) меж населених пунктів. Також по можливості провести інвентаризацію всіх земель громади.</w:t>
      </w:r>
    </w:p>
    <w:p w:rsidR="002F1338" w:rsidRDefault="002F1338" w:rsidP="002F1338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2F1338" w:rsidRDefault="002F1338">
      <w:bookmarkStart w:id="0" w:name="_GoBack"/>
      <w:bookmarkEnd w:id="0"/>
    </w:p>
    <w:sectPr w:rsidR="002F13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86C"/>
    <w:rsid w:val="00057B0B"/>
    <w:rsid w:val="0018070E"/>
    <w:rsid w:val="001F7C8A"/>
    <w:rsid w:val="00257506"/>
    <w:rsid w:val="002E6803"/>
    <w:rsid w:val="002E74D7"/>
    <w:rsid w:val="002F1338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324DC"/>
    <w:rsid w:val="00C9386C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4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4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6737</Words>
  <Characters>3841</Characters>
  <Application>Microsoft Office Word</Application>
  <DocSecurity>0</DocSecurity>
  <Lines>32</Lines>
  <Paragraphs>21</Paragraphs>
  <ScaleCrop>false</ScaleCrop>
  <Company>diakov.net</Company>
  <LinksUpToDate>false</LinksUpToDate>
  <CharactersWithSpaces>10557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2023-02-14T10:40:00Z</dcterms:created>
  <dcterms:modified xsi:type="dcterms:W3CDTF">2023-02-14T10:40:00Z</dcterms:modified>
</cp:coreProperties>
</file>