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F2" w:rsidRPr="005B5BF1" w:rsidRDefault="00C704F2" w:rsidP="00C704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704F2" w:rsidRPr="005B5BF1" w:rsidRDefault="00C704F2" w:rsidP="00C704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332AF68B" wp14:editId="124110C2">
            <wp:extent cx="424815" cy="605155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F2" w:rsidRPr="005B5BF1" w:rsidRDefault="00C704F2" w:rsidP="00C704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УКРАЇНА</w:t>
      </w:r>
    </w:p>
    <w:p w:rsidR="00C704F2" w:rsidRPr="005B5BF1" w:rsidRDefault="00C704F2" w:rsidP="00C704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СОЛОТВИНСЬКА СЕЛИЩНА РАДА</w:t>
      </w:r>
    </w:p>
    <w:p w:rsidR="00C704F2" w:rsidRPr="005B5BF1" w:rsidRDefault="00C704F2" w:rsidP="00C704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ІВАНО-ФРАНКІВСЬКИЙ РАЙОН ІВАНО-ФРАНКІВСЬКА ОБЛАСТЬ</w:t>
      </w:r>
    </w:p>
    <w:p w:rsidR="00C704F2" w:rsidRPr="005B5BF1" w:rsidRDefault="00C704F2" w:rsidP="00C704F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Восьме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демократичне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скликання</w:t>
      </w:r>
      <w:proofErr w:type="spellEnd"/>
    </w:p>
    <w:p w:rsidR="00C704F2" w:rsidRPr="005B5BF1" w:rsidRDefault="00C704F2" w:rsidP="00C704F2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</w:t>
      </w:r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’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ятнадцята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сесія</w:t>
      </w:r>
      <w:proofErr w:type="spellEnd"/>
    </w:p>
    <w:p w:rsidR="00C704F2" w:rsidRPr="005B5BF1" w:rsidRDefault="00C704F2" w:rsidP="00C704F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704F2" w:rsidRPr="005B5BF1" w:rsidRDefault="00C704F2" w:rsidP="00C704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proofErr w:type="gram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Р</w:t>
      </w:r>
      <w:proofErr w:type="gram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ІШЕННЯ</w:t>
      </w:r>
    </w:p>
    <w:p w:rsidR="00C704F2" w:rsidRPr="005B5BF1" w:rsidRDefault="00C704F2" w:rsidP="00C704F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C704F2" w:rsidRPr="005B5BF1" w:rsidRDefault="00C704F2" w:rsidP="00C704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     </w:t>
      </w:r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21</w:t>
      </w:r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грудня</w:t>
      </w:r>
      <w:proofErr w:type="spellEnd"/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 2021 р                    </w:t>
      </w:r>
      <w:proofErr w:type="spellStart"/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смт</w:t>
      </w:r>
      <w:proofErr w:type="spellEnd"/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. Солотвин</w:t>
      </w:r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</w:t>
      </w:r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№</w:t>
      </w:r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860</w:t>
      </w:r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/15/2021</w:t>
      </w: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Про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цільову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 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П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рограму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 ТГ</w:t>
      </w: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«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» на 20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22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-20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25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роки</w:t>
      </w:r>
    </w:p>
    <w:p w:rsidR="00C704F2" w:rsidRPr="005B5BF1" w:rsidRDefault="00C704F2" w:rsidP="00C704F2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   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Заслухавши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обговоривши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селищну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цільову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П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рограму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ТГ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«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» на 20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22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-202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5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роки,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враховуючи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висновки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постійної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комісії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селищної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ради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>охорони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>здоров’я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>освіти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>культури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спорту та </w:t>
      </w:r>
      <w:proofErr w:type="spellStart"/>
      <w:proofErr w:type="gramStart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>соц</w:t>
      </w:r>
      <w:proofErr w:type="gramEnd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>іального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>захисту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eastAsia="ru-RU"/>
        </w:rPr>
        <w:t xml:space="preserve"> та відповідно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до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статті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43 Закону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«Про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місцеве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самоврядування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», </w:t>
      </w:r>
      <w:proofErr w:type="spellStart"/>
      <w:r w:rsidRPr="005B5BF1">
        <w:rPr>
          <w:rFonts w:ascii="Times New Roman" w:hAnsi="Times New Roman"/>
          <w:color w:val="000000"/>
          <w:sz w:val="28"/>
          <w:szCs w:val="28"/>
          <w:lang w:val="ru-RU"/>
        </w:rPr>
        <w:t>Солотвинська</w:t>
      </w:r>
      <w:proofErr w:type="spellEnd"/>
      <w:r w:rsidRPr="005B5BF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>селищна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рада                                                        </w:t>
      </w:r>
    </w:p>
    <w:p w:rsidR="00C704F2" w:rsidRPr="005B5BF1" w:rsidRDefault="00C704F2" w:rsidP="00C704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ВИРІШИЛА</w:t>
      </w:r>
      <w:r w:rsidRPr="005B5BF1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C704F2" w:rsidRPr="005B5BF1" w:rsidRDefault="00C704F2" w:rsidP="00C7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 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1.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Затвердити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селищну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цільову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П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рограму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«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» на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20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22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- 202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5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роки (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додається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).</w:t>
      </w:r>
    </w:p>
    <w:p w:rsidR="00C704F2" w:rsidRPr="005B5BF1" w:rsidRDefault="00C704F2" w:rsidP="00C7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 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2.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Фінансовому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управлінн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ю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селищної ради 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(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О.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Медвідь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)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передбачити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кошти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на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виконання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селищної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цільової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П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рограми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при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формуванні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селищного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бюджет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у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на 20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22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-202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5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роки.</w:t>
      </w:r>
    </w:p>
    <w:p w:rsidR="00C704F2" w:rsidRPr="005B5BF1" w:rsidRDefault="00C704F2" w:rsidP="00C704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br/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uk-UA"/>
        </w:rPr>
        <w:t xml:space="preserve">  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 xml:space="preserve">3. Контроль за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>виконанням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>р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>ішення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>покласти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 xml:space="preserve"> на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uk-UA"/>
        </w:rPr>
        <w:t xml:space="preserve">першого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 xml:space="preserve">заступника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uk-UA"/>
        </w:rPr>
        <w:t xml:space="preserve">селищного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>голови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uk-UA"/>
        </w:rPr>
        <w:t xml:space="preserve"> Тютюнник Н.В., </w:t>
      </w:r>
      <w:r w:rsidRPr="005B5BF1">
        <w:rPr>
          <w:rFonts w:ascii="Times New Roman" w:eastAsia="Times New Roman" w:hAnsi="Times New Roman"/>
          <w:sz w:val="28"/>
          <w:szCs w:val="28"/>
          <w:lang w:eastAsia="uk-UA"/>
        </w:rPr>
        <w:t>постійну комісію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eastAsia="uk-UA"/>
        </w:rPr>
        <w:t>Білусяк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eastAsia="uk-UA"/>
        </w:rPr>
        <w:t xml:space="preserve"> Б.В.),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 xml:space="preserve">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>постійну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>комісію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uk-UA"/>
        </w:rPr>
        <w:t xml:space="preserve"> </w:t>
      </w:r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з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>питань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>охорони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>здоров’я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>освіти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>культури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спорту та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>соціального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val="ru-RU" w:eastAsia="uk-UA"/>
        </w:rPr>
        <w:t>захисту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eastAsia="uk-UA"/>
        </w:rPr>
        <w:t xml:space="preserve"> (Данилюк К.В.)</w:t>
      </w: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    Селищний голова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ab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ab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ab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ab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ab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    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Манолій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ПІЦУРЯК</w:t>
      </w: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</w:p>
    <w:p w:rsidR="00994F7B" w:rsidRDefault="00C704F2"/>
    <w:p w:rsidR="00C704F2" w:rsidRDefault="00C704F2"/>
    <w:p w:rsidR="00C704F2" w:rsidRDefault="00C704F2"/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pacing w:after="0" w:line="240" w:lineRule="auto"/>
        <w:jc w:val="right"/>
        <w:rPr>
          <w:rFonts w:ascii="Times New Roman" w:eastAsia="Times New Roman" w:hAnsi="Times New Roman"/>
          <w:sz w:val="20"/>
          <w:lang w:eastAsia="uk-UA"/>
        </w:rPr>
      </w:pPr>
      <w:r w:rsidRPr="005B5BF1">
        <w:rPr>
          <w:rFonts w:ascii="Times New Roman" w:eastAsia="Times New Roman" w:hAnsi="Times New Roman"/>
          <w:sz w:val="20"/>
          <w:lang w:eastAsia="uk-UA"/>
        </w:rPr>
        <w:t>ЗАТВЕРДЖЕНО</w:t>
      </w:r>
    </w:p>
    <w:p w:rsidR="00C704F2" w:rsidRPr="005B5BF1" w:rsidRDefault="00C704F2" w:rsidP="00C704F2">
      <w:pPr>
        <w:spacing w:after="0" w:line="240" w:lineRule="auto"/>
        <w:jc w:val="right"/>
        <w:rPr>
          <w:rFonts w:ascii="Times New Roman" w:eastAsia="Times New Roman" w:hAnsi="Times New Roman"/>
          <w:sz w:val="20"/>
          <w:lang w:eastAsia="uk-UA"/>
        </w:rPr>
      </w:pPr>
      <w:r w:rsidRPr="005B5BF1">
        <w:rPr>
          <w:rFonts w:ascii="Times New Roman" w:eastAsia="Times New Roman" w:hAnsi="Times New Roman"/>
          <w:sz w:val="20"/>
          <w:lang w:eastAsia="uk-UA"/>
        </w:rPr>
        <w:t xml:space="preserve">рішенням </w:t>
      </w:r>
      <w:proofErr w:type="spellStart"/>
      <w:r w:rsidRPr="005B5BF1">
        <w:rPr>
          <w:rFonts w:ascii="Times New Roman" w:eastAsia="Times New Roman" w:hAnsi="Times New Roman"/>
          <w:sz w:val="20"/>
          <w:lang w:eastAsia="uk-UA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sz w:val="20"/>
          <w:lang w:eastAsia="uk-UA"/>
        </w:rPr>
        <w:t xml:space="preserve"> селищної ради </w:t>
      </w:r>
    </w:p>
    <w:p w:rsidR="00C704F2" w:rsidRPr="005B5BF1" w:rsidRDefault="00C704F2" w:rsidP="00C704F2">
      <w:pPr>
        <w:spacing w:after="0" w:line="240" w:lineRule="auto"/>
        <w:jc w:val="center"/>
        <w:rPr>
          <w:rFonts w:ascii="Times New Roman" w:eastAsia="Times New Roman" w:hAnsi="Times New Roman"/>
          <w:sz w:val="20"/>
          <w:lang w:eastAsia="uk-UA"/>
        </w:rPr>
      </w:pPr>
      <w:r w:rsidRPr="005B5BF1">
        <w:rPr>
          <w:rFonts w:ascii="Times New Roman" w:eastAsia="Times New Roman" w:hAnsi="Times New Roman"/>
          <w:sz w:val="20"/>
          <w:lang w:eastAsia="uk-UA"/>
        </w:rPr>
        <w:t xml:space="preserve">                                                                                                                                21  грудня  2021 року №855/12/2021</w:t>
      </w: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>Селищна</w:t>
      </w: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>цільова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>П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>рограма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 xml:space="preserve"> </w:t>
      </w: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</w:pP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 xml:space="preserve"> ТГ   </w:t>
      </w: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>«</w:t>
      </w: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>Розвиток культури та туризму</w:t>
      </w: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>»</w:t>
      </w: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>на 20</w:t>
      </w: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>22</w:t>
      </w: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>-202</w:t>
      </w: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>5</w:t>
      </w: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 xml:space="preserve"> роки</w:t>
      </w: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</w:pPr>
    </w:p>
    <w:p w:rsidR="00C704F2" w:rsidRPr="005B5BF1" w:rsidRDefault="00C704F2" w:rsidP="00C704F2">
      <w:pPr>
        <w:spacing w:after="160" w:line="256" w:lineRule="auto"/>
        <w:rPr>
          <w:lang w:eastAsia="ru-RU"/>
        </w:rPr>
      </w:pPr>
    </w:p>
    <w:p w:rsidR="00C704F2" w:rsidRPr="005B5BF1" w:rsidRDefault="00C704F2" w:rsidP="00C704F2">
      <w:pPr>
        <w:spacing w:after="160" w:line="256" w:lineRule="auto"/>
        <w:rPr>
          <w:lang w:eastAsia="ru-RU"/>
        </w:rPr>
      </w:pPr>
    </w:p>
    <w:p w:rsidR="00C704F2" w:rsidRPr="005B5BF1" w:rsidRDefault="00C704F2" w:rsidP="00C704F2">
      <w:pPr>
        <w:spacing w:after="160" w:line="256" w:lineRule="auto"/>
        <w:rPr>
          <w:lang w:eastAsia="ru-RU"/>
        </w:rPr>
      </w:pPr>
    </w:p>
    <w:p w:rsidR="00C704F2" w:rsidRPr="005B5BF1" w:rsidRDefault="00C704F2" w:rsidP="00C704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B5BF1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Загальна характеристика програми</w:t>
      </w:r>
    </w:p>
    <w:p w:rsidR="00C704F2" w:rsidRPr="005B5BF1" w:rsidRDefault="00C704F2" w:rsidP="00C70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BF1">
        <w:rPr>
          <w:rFonts w:ascii="Times New Roman" w:hAnsi="Times New Roman"/>
          <w:sz w:val="28"/>
          <w:szCs w:val="28"/>
        </w:rPr>
        <w:tab/>
        <w:t>Для розв’язання проблем культури та туризму селищної територіальної громади  необхідно дотримуватись принципів планування та послідовності, чітко визначити перспективи з урахуванням усіх потреб галузі, використовуючи цільове пріоритетне спрямування бюджетних коштів для вирішення першочергових завдань.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BF1">
        <w:rPr>
          <w:rFonts w:ascii="Times New Roman" w:hAnsi="Times New Roman"/>
          <w:sz w:val="28"/>
          <w:szCs w:val="28"/>
        </w:rPr>
        <w:tab/>
        <w:t>Потрібно продовжити позитивні напрацювання щодо зміцнення переорієнтації методів управління культурою – від керування до творчої діяльної координації та підтримки ініціатив на засадах прозорості і публічності, а також щодо інноваційного підходу до вирішення питань галузі на основі активного діалогу з творчою громадськістю. Це стане можливим завдяки спільній роботі відділу культури, туризму, національностей та релігій селищної ради, закладів культури і мистецтв, виконавчого комітету та громадських організацій.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</w:rPr>
        <w:tab/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Для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галузі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актуальними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питання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фінансової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ідтримки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туризму</w:t>
      </w:r>
      <w:r w:rsidRPr="005B5BF1">
        <w:rPr>
          <w:rFonts w:ascii="Times New Roman" w:hAnsi="Times New Roman"/>
          <w:sz w:val="28"/>
          <w:szCs w:val="28"/>
        </w:rPr>
        <w:t>,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збільшення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позабюджетних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додаткових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надходжень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цією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метою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об’єднати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зусилля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державного і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недержавного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секторів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призведе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суттєвих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якості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  <w:t xml:space="preserve">Для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належного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і туризму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спрямувати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дії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місцевих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органів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влади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вироблення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впровадження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нового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погляду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галузі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системного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ідходу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застосуванням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сучасних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моделей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політики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б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сприяли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динамізації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процесів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пошуку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шляхів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фінансового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галузі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збереженню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примноженню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культурно-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мистецького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потенціалу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</w:rPr>
        <w:t>Солотвинської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громади</w:t>
      </w:r>
      <w:r w:rsidRPr="005B5BF1">
        <w:rPr>
          <w:rFonts w:ascii="Times New Roman" w:hAnsi="Times New Roman"/>
          <w:sz w:val="28"/>
          <w:szCs w:val="28"/>
          <w:lang w:val="ru-RU"/>
        </w:rPr>
        <w:t>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uk-UA"/>
        </w:rPr>
      </w:pPr>
      <w:r w:rsidRPr="005B5BF1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 Селищна цільова Програма «Розвиток культури та туризму» на   2022-2025 роки (далі – програма) розроблена відділом культури, туризму, національностей та релігій селищної ради на виконання Конституції України «Про місцеве самоврядування в Україні», «Про державні цільові програми», «Про культуру», </w:t>
      </w:r>
      <w:r w:rsidRPr="005B5BF1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uk-UA"/>
        </w:rPr>
        <w:t> </w:t>
      </w:r>
      <w:r w:rsidRPr="005B5BF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uk-UA"/>
        </w:rPr>
        <w:t xml:space="preserve">«Про бібліотеки  та бібліотечну справу», </w:t>
      </w:r>
      <w:r w:rsidRPr="005B5BF1">
        <w:rPr>
          <w:rFonts w:ascii="Times New Roman" w:eastAsia="Times New Roman" w:hAnsi="Times New Roman"/>
          <w:sz w:val="28"/>
          <w:szCs w:val="28"/>
          <w:lang w:eastAsia="uk-UA"/>
        </w:rPr>
        <w:t xml:space="preserve">«Про туризм», «Про інноваційну діяльність» і </w:t>
      </w:r>
      <w:r w:rsidRPr="005B5BF1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 xml:space="preserve">передбачає вдосконалення реалізації державної політики у сфері культури та туризму, збереження та подальший розвиток культурного потенціалу  в </w:t>
      </w:r>
      <w:proofErr w:type="spellStart"/>
      <w:r w:rsidRPr="005B5BF1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Солотвинській</w:t>
      </w:r>
      <w:proofErr w:type="spellEnd"/>
      <w:r w:rsidRPr="005B5BF1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 xml:space="preserve"> громаді, розвиток культурних традицій, створення туристичних маршрутів, розвито </w:t>
      </w:r>
      <w:proofErr w:type="spellStart"/>
      <w:r w:rsidRPr="005B5BF1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екотуризму</w:t>
      </w:r>
      <w:proofErr w:type="spellEnd"/>
      <w:r w:rsidRPr="005B5BF1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, збереження історичних цінностей, забезпечення доступності закладів культури для всіх верств населення, створення максимально сприятливих умов для творчого  формування особистості, розкриття її здібностей, задоволення духовних і естетичних проблем, відродження народної творчості та популяризації національних звичаїв та обрядів, організацію повнішого, змістовного дозвілля, масового відпочинку та культурного обслуговування населення.</w:t>
      </w:r>
    </w:p>
    <w:p w:rsidR="00C704F2" w:rsidRPr="005B5BF1" w:rsidRDefault="00C704F2" w:rsidP="00C704F2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uk-UA"/>
        </w:rPr>
      </w:pPr>
      <w:r w:rsidRPr="005B5BF1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lastRenderedPageBreak/>
        <w:t xml:space="preserve">    Станом на 21.12.2021 року  культурне обслуговування населення </w:t>
      </w:r>
      <w:proofErr w:type="spellStart"/>
      <w:r w:rsidRPr="005B5BF1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 xml:space="preserve"> громади здійснюють 14 бібліотек, 13 клубних закладів (3 Будинки культури та 10 сільських закладів),  а також ДМШ. Дана мережа культосвітніх закладів є оптимальною і при умові повноцінного функціонування спроможна забезпечити  потреби населення громади у культурному обслуговуванні.</w:t>
      </w:r>
    </w:p>
    <w:p w:rsidR="00C704F2" w:rsidRPr="005B5BF1" w:rsidRDefault="00C704F2" w:rsidP="00C704F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нормативним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документом для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всебічного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та туризму 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урахуванням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іально-економічних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національних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особливостей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</w:rPr>
        <w:t>Солотвинського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краю</w:t>
      </w:r>
      <w:r w:rsidRPr="005B5BF1">
        <w:rPr>
          <w:rFonts w:ascii="Times New Roman" w:hAnsi="Times New Roman"/>
          <w:sz w:val="28"/>
          <w:szCs w:val="28"/>
          <w:lang w:val="ru-RU"/>
        </w:rPr>
        <w:t>.</w:t>
      </w:r>
    </w:p>
    <w:p w:rsidR="00C704F2" w:rsidRPr="005B5BF1" w:rsidRDefault="00C704F2" w:rsidP="00C704F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відкрита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доповнення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корегування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спільних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органів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виконавчої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влади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установ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галузі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громадських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об’єднань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справі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поліпшення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туристичної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, 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іально-економічного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стану </w:t>
      </w:r>
      <w:r w:rsidRPr="005B5BF1">
        <w:rPr>
          <w:rFonts w:ascii="Times New Roman" w:hAnsi="Times New Roman"/>
          <w:sz w:val="28"/>
          <w:szCs w:val="28"/>
        </w:rPr>
        <w:t>громади</w:t>
      </w:r>
      <w:r w:rsidRPr="005B5BF1">
        <w:rPr>
          <w:rFonts w:ascii="Times New Roman" w:hAnsi="Times New Roman"/>
          <w:sz w:val="28"/>
          <w:szCs w:val="28"/>
          <w:lang w:val="ru-RU"/>
        </w:rPr>
        <w:t>.</w:t>
      </w:r>
    </w:p>
    <w:p w:rsidR="00C704F2" w:rsidRPr="005B5BF1" w:rsidRDefault="00C704F2" w:rsidP="00C704F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визначає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стратегію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організаційну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основу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фінансово-господарських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адм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іністративно-управлінських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умов для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всебічного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та туризму 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</w:rPr>
        <w:t>Солотвинської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громади</w:t>
      </w:r>
      <w:r w:rsidRPr="005B5BF1">
        <w:rPr>
          <w:rFonts w:ascii="Times New Roman" w:hAnsi="Times New Roman"/>
          <w:sz w:val="28"/>
          <w:szCs w:val="28"/>
          <w:lang w:val="ru-RU"/>
        </w:rPr>
        <w:t>.</w:t>
      </w:r>
      <w:r w:rsidRPr="005B5BF1">
        <w:rPr>
          <w:rFonts w:ascii="Times New Roman" w:hAnsi="Times New Roman"/>
          <w:sz w:val="28"/>
          <w:szCs w:val="28"/>
        </w:rPr>
        <w:t xml:space="preserve"> </w:t>
      </w:r>
    </w:p>
    <w:p w:rsidR="00C704F2" w:rsidRPr="005B5BF1" w:rsidRDefault="00C704F2" w:rsidP="00C70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5B5BF1">
        <w:rPr>
          <w:rFonts w:ascii="Times New Roman" w:hAnsi="Times New Roman"/>
          <w:color w:val="333333"/>
          <w:sz w:val="28"/>
          <w:szCs w:val="28"/>
        </w:rPr>
        <w:t>Однак брак коштів негативно позначається на діяльності багатьох закладів культури, гальмує процес підтримки народної творчості, не дозволяє</w:t>
      </w:r>
      <w:r w:rsidRPr="005B5BF1">
        <w:rPr>
          <w:rFonts w:ascii="Times New Roman" w:hAnsi="Times New Roman"/>
          <w:color w:val="333333"/>
          <w:sz w:val="28"/>
          <w:szCs w:val="28"/>
          <w:lang w:val="ru-RU"/>
        </w:rPr>
        <w:t> </w:t>
      </w:r>
      <w:r w:rsidRPr="005B5BF1">
        <w:rPr>
          <w:rFonts w:ascii="Times New Roman" w:hAnsi="Times New Roman"/>
          <w:color w:val="333333"/>
          <w:sz w:val="28"/>
          <w:szCs w:val="28"/>
        </w:rPr>
        <w:t xml:space="preserve"> повною мірою реалізувати план зміцнення матеріально-технічної бази закладів культури громади. Тут постає р</w:t>
      </w:r>
      <w:r w:rsidRPr="005B5BF1">
        <w:rPr>
          <w:rFonts w:ascii="Times New Roman" w:hAnsi="Times New Roman"/>
          <w:color w:val="333333"/>
          <w:sz w:val="28"/>
          <w:szCs w:val="28"/>
          <w:lang w:val="ru-RU"/>
        </w:rPr>
        <w:t xml:space="preserve">яд проблем </w:t>
      </w:r>
      <w:proofErr w:type="spellStart"/>
      <w:r w:rsidRPr="005B5BF1">
        <w:rPr>
          <w:rFonts w:ascii="Times New Roman" w:hAnsi="Times New Roman"/>
          <w:color w:val="333333"/>
          <w:sz w:val="28"/>
          <w:szCs w:val="28"/>
          <w:lang w:val="ru-RU"/>
        </w:rPr>
        <w:t>загальносоціального</w:t>
      </w:r>
      <w:proofErr w:type="spellEnd"/>
      <w:r w:rsidRPr="005B5BF1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color w:val="333333"/>
          <w:sz w:val="28"/>
          <w:szCs w:val="28"/>
          <w:lang w:val="ru-RU"/>
        </w:rPr>
        <w:t>значення</w:t>
      </w:r>
      <w:proofErr w:type="spellEnd"/>
      <w:r w:rsidRPr="005B5BF1">
        <w:rPr>
          <w:rFonts w:ascii="Times New Roman" w:hAnsi="Times New Roman"/>
          <w:color w:val="333333"/>
          <w:sz w:val="28"/>
          <w:szCs w:val="28"/>
          <w:lang w:val="ru-RU"/>
        </w:rPr>
        <w:t xml:space="preserve"> таких як:</w:t>
      </w:r>
    </w:p>
    <w:p w:rsidR="00C704F2" w:rsidRPr="005B5BF1" w:rsidRDefault="00C704F2" w:rsidP="00C704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невідповідність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нормативно-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правової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бази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сучасним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вимогам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низький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івень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фінансового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матеріально-технічного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незначний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обсяг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інвестицій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низький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івень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заробітної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плати</w:t>
      </w:r>
      <w:r w:rsidRPr="005B5BF1">
        <w:rPr>
          <w:rFonts w:ascii="Times New Roman" w:hAnsi="Times New Roman"/>
          <w:sz w:val="28"/>
          <w:szCs w:val="28"/>
        </w:rPr>
        <w:t>, недостатня кількість фахівців</w:t>
      </w:r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недостатнє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пропагування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широких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верств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кращих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зразків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національно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-культурного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надбання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.</w:t>
      </w:r>
    </w:p>
    <w:p w:rsidR="00C704F2" w:rsidRPr="005B5BF1" w:rsidRDefault="00C704F2" w:rsidP="00C704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 xml:space="preserve">         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Прийняття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обумовлено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також н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еобхідністю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цілісної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ефективної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системи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направленої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розбудову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конкурентоспроможного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туристичного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та культурного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 продукту,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здатного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максимально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задовольнити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туристичні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5BF1">
        <w:rPr>
          <w:rFonts w:ascii="Times New Roman" w:hAnsi="Times New Roman"/>
          <w:sz w:val="28"/>
          <w:szCs w:val="28"/>
        </w:rPr>
        <w:t xml:space="preserve">та мистецькі 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потреби як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зовнішнього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так і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внутрішнього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туриста</w:t>
      </w:r>
      <w:r w:rsidRPr="005B5BF1">
        <w:rPr>
          <w:rFonts w:ascii="Times New Roman" w:hAnsi="Times New Roman"/>
          <w:sz w:val="28"/>
          <w:szCs w:val="28"/>
        </w:rPr>
        <w:t xml:space="preserve">, а також жителів громади 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цій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основі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5BF1">
        <w:rPr>
          <w:rFonts w:ascii="Times New Roman" w:hAnsi="Times New Roman"/>
          <w:sz w:val="28"/>
          <w:szCs w:val="28"/>
        </w:rPr>
        <w:t>громади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іальноекономічного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зростання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раціонального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екологічної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івноваги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історико-культурної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спадщини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Також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першочергового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вирішення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потребує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питання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ефективного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природних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рекреаційних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ресурсі</w:t>
      </w:r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704F2" w:rsidRPr="005B5BF1" w:rsidRDefault="00C704F2" w:rsidP="00C704F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ітова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практика доводить,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доходи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туризму за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ефективного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рекреаційного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потенціалу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стати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основним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джерелом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lastRenderedPageBreak/>
        <w:t>наповнення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бюджету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територій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а на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дестинації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підвищити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зайнятості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зростання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доходів</w:t>
      </w:r>
      <w:proofErr w:type="spellEnd"/>
      <w:r w:rsidRPr="005B5BF1">
        <w:rPr>
          <w:rFonts w:ascii="Times New Roman" w:hAnsi="Times New Roman"/>
          <w:sz w:val="28"/>
          <w:szCs w:val="28"/>
        </w:rPr>
        <w:t>.</w:t>
      </w:r>
    </w:p>
    <w:p w:rsidR="00C704F2" w:rsidRPr="005B5BF1" w:rsidRDefault="00C704F2" w:rsidP="00C704F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5B5BF1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     Усе вище викладене зумовлює необхідність прийняття селищної цільової програми «Розвиток культури та туризму» на 2022 - 2025 роки ( далі - Програма).</w:t>
      </w:r>
    </w:p>
    <w:p w:rsidR="00C704F2" w:rsidRPr="005B5BF1" w:rsidRDefault="00C704F2" w:rsidP="00C704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B5BF1">
        <w:rPr>
          <w:rFonts w:ascii="Times New Roman" w:eastAsia="Times New Roman" w:hAnsi="Times New Roman"/>
          <w:b/>
          <w:sz w:val="28"/>
          <w:szCs w:val="20"/>
          <w:lang w:eastAsia="ru-RU"/>
        </w:rPr>
        <w:t>Мета і стратегічні завдання програми</w:t>
      </w:r>
    </w:p>
    <w:p w:rsidR="00C704F2" w:rsidRPr="005B5BF1" w:rsidRDefault="00C704F2" w:rsidP="00C704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спрямована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подальший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національної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і туризму,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галузі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ab/>
        <w:t xml:space="preserve">Основною метою </w:t>
      </w:r>
      <w:proofErr w:type="spellStart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програми</w:t>
      </w:r>
      <w:proofErr w:type="spellEnd"/>
      <w:proofErr w:type="gramStart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є:</w:t>
      </w:r>
      <w:proofErr w:type="gramEnd"/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BF1">
        <w:rPr>
          <w:rFonts w:ascii="Times New Roman" w:hAnsi="Times New Roman"/>
          <w:sz w:val="28"/>
          <w:szCs w:val="28"/>
        </w:rPr>
        <w:t>п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осилення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та туризму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громаді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сприятливих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умов для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творчих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ініціатив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урахуванням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місцевих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особливостей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розв’язання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проблем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національно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-культурного </w:t>
      </w:r>
      <w:r w:rsidRPr="005B5BF1">
        <w:rPr>
          <w:rFonts w:ascii="Times New Roman" w:hAnsi="Times New Roman"/>
          <w:sz w:val="28"/>
          <w:szCs w:val="28"/>
        </w:rPr>
        <w:t xml:space="preserve">та туристичного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національно-культурної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спадщини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задоволення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інтелектуальних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духовних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потреб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5B5BF1">
        <w:rPr>
          <w:rFonts w:ascii="Times New Roman" w:hAnsi="Times New Roman"/>
          <w:sz w:val="28"/>
          <w:szCs w:val="28"/>
        </w:rPr>
        <w:t>, а також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регулювання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туристично-рекреаційної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сфери</w:t>
      </w:r>
      <w:proofErr w:type="spellEnd"/>
      <w:r w:rsidRPr="005B5BF1">
        <w:rPr>
          <w:rFonts w:ascii="Times New Roman" w:hAnsi="Times New Roman"/>
          <w:sz w:val="28"/>
          <w:szCs w:val="28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BF1">
        <w:rPr>
          <w:rFonts w:ascii="Times New Roman" w:hAnsi="Times New Roman"/>
          <w:sz w:val="28"/>
          <w:szCs w:val="28"/>
        </w:rPr>
        <w:t>забезпечення належних, сучасних і дієвих умов – фінансових, правових, організаційних, соціальних – для того, щоб митці, діячі культури, культурно-мистецькі організації, заклади громади працювали краще, динамічніше, успішніше, здобували прихильність і визнання не лише в Україні, а й поза її межами;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BF1">
        <w:rPr>
          <w:rFonts w:ascii="Times New Roman" w:hAnsi="Times New Roman"/>
          <w:sz w:val="28"/>
          <w:szCs w:val="28"/>
        </w:rPr>
        <w:t>сприяння становленню талановитої мистецької молоді, підтримка професійної творчої діяльності, реалізації освітніх культурно-мистецьких заходів для дітей та молоді, поповнення фондів музеїв і бібліотек селища.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</w:rPr>
        <w:tab/>
      </w:r>
      <w:proofErr w:type="spellStart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Основними</w:t>
      </w:r>
      <w:proofErr w:type="spellEnd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стратегічними</w:t>
      </w:r>
      <w:proofErr w:type="spellEnd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завданнями</w:t>
      </w:r>
      <w:proofErr w:type="spellEnd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програми</w:t>
      </w:r>
      <w:proofErr w:type="spellEnd"/>
      <w:proofErr w:type="gramStart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є:</w:t>
      </w:r>
      <w:proofErr w:type="gramEnd"/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та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базової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мережі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покращення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умов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зміцнення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матеріально-технічної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бази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упровадження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ефективних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форм,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методів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засобів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культурно-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мистецької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урахуванням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місцевих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особливостей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традицій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економічних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факторі</w:t>
      </w:r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ідготовка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нового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покоління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спеціалістів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професійності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культурно-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мистецьких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5BF1">
        <w:rPr>
          <w:rFonts w:ascii="Times New Roman" w:hAnsi="Times New Roman"/>
          <w:sz w:val="28"/>
          <w:szCs w:val="28"/>
        </w:rPr>
        <w:t>громаді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присвячені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знаменним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датам,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річницям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є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традиційними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щорічними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lastRenderedPageBreak/>
        <w:t xml:space="preserve">участь в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проведенні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міжнародних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всеукраїнських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обласних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мистецьких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фестивалів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конкурсів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свят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оглядів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народної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творчості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міжрегіональних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творчих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обмінів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культурно-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мистецьких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заході</w:t>
      </w:r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інформаційно-просвітницьких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і культурно-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мистецьких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спрямованих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української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мови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покращення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стану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об</w:t>
      </w:r>
      <w:r w:rsidRPr="005B5BF1">
        <w:rPr>
          <w:rFonts w:ascii="Times New Roman" w:hAnsi="Times New Roman"/>
          <w:sz w:val="28"/>
          <w:szCs w:val="28"/>
          <w:lang w:val="ru-RU"/>
        </w:rPr>
        <w:sym w:font="Symbol" w:char="00A2"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єктів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історико-культурної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спадщини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модернізація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об</w:t>
      </w:r>
      <w:r w:rsidRPr="005B5BF1">
        <w:rPr>
          <w:rFonts w:ascii="Times New Roman" w:hAnsi="Times New Roman"/>
          <w:sz w:val="28"/>
          <w:szCs w:val="28"/>
          <w:lang w:val="ru-RU"/>
        </w:rPr>
        <w:sym w:font="Symbol" w:char="00A2"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єктів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спадщини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музеї</w:t>
      </w:r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та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бібліотек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необхідних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ремонтних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реставраційних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BF1">
        <w:rPr>
          <w:rFonts w:ascii="Times New Roman" w:hAnsi="Times New Roman"/>
          <w:sz w:val="28"/>
          <w:szCs w:val="28"/>
        </w:rPr>
        <w:t>популяризація історії та культури рідного краю;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розробка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низки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туристично</w:t>
      </w:r>
      <w:proofErr w:type="spellEnd"/>
      <w:r w:rsidRPr="005B5BF1">
        <w:rPr>
          <w:rFonts w:ascii="Times New Roman" w:hAnsi="Times New Roman"/>
          <w:sz w:val="28"/>
          <w:szCs w:val="28"/>
        </w:rPr>
        <w:t>-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екскурсійних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маршрутів</w:t>
      </w:r>
      <w:proofErr w:type="spellEnd"/>
      <w:r w:rsidRPr="005B5BF1">
        <w:rPr>
          <w:rFonts w:ascii="Times New Roman" w:hAnsi="Times New Roman"/>
          <w:sz w:val="28"/>
          <w:szCs w:val="28"/>
        </w:rPr>
        <w:t>, що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 дозволить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гармонійно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поєднати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привабливі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подорожей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повного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задоволення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потреб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найвимогливіших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туристі</w:t>
      </w:r>
      <w:proofErr w:type="gramStart"/>
      <w:r w:rsidRPr="005B5BF1">
        <w:rPr>
          <w:rFonts w:ascii="Times New Roman" w:hAnsi="Times New Roman"/>
          <w:sz w:val="28"/>
          <w:szCs w:val="28"/>
        </w:rPr>
        <w:t>в</w:t>
      </w:r>
      <w:proofErr w:type="gramEnd"/>
      <w:r w:rsidRPr="005B5BF1">
        <w:rPr>
          <w:rFonts w:ascii="Times New Roman" w:hAnsi="Times New Roman"/>
          <w:sz w:val="28"/>
          <w:szCs w:val="28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рекламн</w:t>
      </w:r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о-</w:t>
      </w:r>
      <w:proofErr w:type="spellStart"/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інформаційної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галузі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відтворення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народних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традицій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ремесел;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творчого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потенціалу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культурного простору </w:t>
      </w:r>
      <w:r w:rsidRPr="005B5BF1">
        <w:rPr>
          <w:rFonts w:ascii="Times New Roman" w:hAnsi="Times New Roman"/>
          <w:sz w:val="28"/>
          <w:szCs w:val="28"/>
        </w:rPr>
        <w:t>громади</w:t>
      </w:r>
      <w:r w:rsidRPr="005B5BF1">
        <w:rPr>
          <w:rFonts w:ascii="Times New Roman" w:hAnsi="Times New Roman"/>
          <w:sz w:val="28"/>
          <w:szCs w:val="28"/>
          <w:lang w:val="ru-RU"/>
        </w:rPr>
        <w:t>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b/>
          <w:sz w:val="28"/>
          <w:szCs w:val="28"/>
          <w:lang w:val="ru-RU"/>
        </w:rPr>
        <w:t>Фінансове</w:t>
      </w:r>
      <w:proofErr w:type="spellEnd"/>
      <w:r w:rsidRPr="005B5B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b/>
          <w:sz w:val="28"/>
          <w:szCs w:val="28"/>
          <w:lang w:val="ru-RU"/>
        </w:rPr>
        <w:t>забезпечення</w:t>
      </w:r>
      <w:proofErr w:type="spellEnd"/>
      <w:r w:rsidRPr="005B5B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  <w:t xml:space="preserve">Заходи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реалізуються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рахунок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коштів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5B5BF1">
        <w:rPr>
          <w:rFonts w:ascii="Times New Roman" w:hAnsi="Times New Roman"/>
          <w:sz w:val="28"/>
          <w:szCs w:val="28"/>
        </w:rPr>
        <w:t>селищного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 бюджету</w:t>
      </w:r>
      <w:r w:rsidRPr="005B5BF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джерел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заборонених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Бюджетні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призначення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передбачаються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щорічно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формуванні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5BF1">
        <w:rPr>
          <w:rFonts w:ascii="Times New Roman" w:hAnsi="Times New Roman"/>
          <w:sz w:val="28"/>
          <w:szCs w:val="28"/>
        </w:rPr>
        <w:t>селищного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 бюджету,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виходячи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можливостей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дохідної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частини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місцевих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бюджеті</w:t>
      </w:r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джерел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заборонених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BF1">
        <w:rPr>
          <w:rFonts w:ascii="Times New Roman" w:hAnsi="Times New Roman"/>
          <w:b/>
          <w:sz w:val="28"/>
          <w:szCs w:val="28"/>
        </w:rPr>
        <w:t>Напрямки організації програми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BF1">
        <w:rPr>
          <w:rFonts w:ascii="Times New Roman" w:hAnsi="Times New Roman"/>
          <w:sz w:val="28"/>
          <w:szCs w:val="28"/>
        </w:rPr>
        <w:lastRenderedPageBreak/>
        <w:t xml:space="preserve">Виготовлення поліграфічної продукції (довідників, путівників, буклетів, </w:t>
      </w:r>
      <w:proofErr w:type="spellStart"/>
      <w:r w:rsidRPr="005B5BF1">
        <w:rPr>
          <w:rFonts w:ascii="Times New Roman" w:hAnsi="Times New Roman"/>
          <w:sz w:val="28"/>
          <w:szCs w:val="28"/>
        </w:rPr>
        <w:t>карто-схем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), сувенірів, </w:t>
      </w:r>
      <w:proofErr w:type="spellStart"/>
      <w:r w:rsidRPr="005B5BF1">
        <w:rPr>
          <w:rFonts w:ascii="Times New Roman" w:hAnsi="Times New Roman"/>
          <w:sz w:val="28"/>
          <w:szCs w:val="28"/>
        </w:rPr>
        <w:t>відео-рекламнопрезентаційних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матеріалів про основні об’єкти туристичного показу та екскурсійного відвідування територій.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ідтримка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народних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промислів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творчих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майстерень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</w:rPr>
        <w:t>пленнерів</w:t>
      </w:r>
      <w:proofErr w:type="spellEnd"/>
      <w:r w:rsidRPr="005B5BF1">
        <w:rPr>
          <w:rFonts w:ascii="Times New Roman" w:hAnsi="Times New Roman"/>
          <w:sz w:val="28"/>
          <w:szCs w:val="28"/>
        </w:rPr>
        <w:t>.</w:t>
      </w:r>
    </w:p>
    <w:p w:rsidR="00C704F2" w:rsidRPr="005B5BF1" w:rsidRDefault="00C704F2" w:rsidP="00C704F2">
      <w:pPr>
        <w:spacing w:after="160" w:line="256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виставок-ярмарків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робіт майстрів </w:t>
      </w:r>
      <w:proofErr w:type="gramStart"/>
      <w:r w:rsidRPr="005B5BF1">
        <w:rPr>
          <w:rFonts w:ascii="Times New Roman" w:hAnsi="Times New Roman"/>
          <w:sz w:val="28"/>
          <w:szCs w:val="28"/>
        </w:rPr>
        <w:t>декоративно-прикладного</w:t>
      </w:r>
      <w:proofErr w:type="gramEnd"/>
      <w:r w:rsidRPr="005B5BF1">
        <w:rPr>
          <w:rFonts w:ascii="Times New Roman" w:hAnsi="Times New Roman"/>
          <w:sz w:val="28"/>
          <w:szCs w:val="28"/>
        </w:rPr>
        <w:t xml:space="preserve"> мистецтва та майстрів народного мистецтва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семінарів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участі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майстрів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народних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ремесел, а також виставок домашніх улюбленців.</w:t>
      </w:r>
    </w:p>
    <w:p w:rsidR="00C704F2" w:rsidRPr="005B5BF1" w:rsidRDefault="00C704F2" w:rsidP="00C704F2">
      <w:pPr>
        <w:spacing w:after="160" w:line="256" w:lineRule="auto"/>
        <w:contextualSpacing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BF1">
        <w:rPr>
          <w:rFonts w:ascii="Times New Roman" w:hAnsi="Times New Roman"/>
          <w:sz w:val="28"/>
          <w:szCs w:val="28"/>
        </w:rPr>
        <w:t>Створення школи бойківського промислу, фольклору та етнографії.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BF1">
        <w:rPr>
          <w:rFonts w:ascii="Times New Roman" w:hAnsi="Times New Roman"/>
          <w:sz w:val="28"/>
          <w:szCs w:val="28"/>
        </w:rPr>
        <w:t xml:space="preserve">     5.  Кулінарні заходи: шоу вареників, фестиваль борщу, майстер-класи бойківської та польової кухні.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BF1">
        <w:rPr>
          <w:rFonts w:ascii="Times New Roman" w:hAnsi="Times New Roman"/>
          <w:sz w:val="28"/>
          <w:szCs w:val="28"/>
        </w:rPr>
        <w:t xml:space="preserve">Майстер-класи з гончарства, ковальства, різьби по дереву, </w:t>
      </w:r>
      <w:proofErr w:type="spellStart"/>
      <w:r w:rsidRPr="005B5BF1">
        <w:rPr>
          <w:rFonts w:ascii="Times New Roman" w:hAnsi="Times New Roman"/>
          <w:sz w:val="28"/>
          <w:szCs w:val="28"/>
        </w:rPr>
        <w:t>ляльок-мотанок</w:t>
      </w:r>
      <w:proofErr w:type="spellEnd"/>
      <w:r w:rsidRPr="005B5BF1">
        <w:rPr>
          <w:rFonts w:ascii="Times New Roman" w:hAnsi="Times New Roman"/>
          <w:sz w:val="28"/>
          <w:szCs w:val="28"/>
        </w:rPr>
        <w:t>, народного танцю та української забутої пісні.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uk-UA"/>
        </w:rPr>
      </w:pPr>
      <w:proofErr w:type="gramStart"/>
      <w:r w:rsidRPr="005B5BF1">
        <w:rPr>
          <w:rFonts w:ascii="Times New Roman" w:eastAsia="Times New Roman" w:hAnsi="Times New Roman"/>
          <w:color w:val="202124"/>
          <w:sz w:val="28"/>
          <w:szCs w:val="28"/>
          <w:lang w:val="en-US" w:eastAsia="uk-UA"/>
        </w:rPr>
        <w:t>G</w:t>
      </w:r>
      <w:proofErr w:type="spellStart"/>
      <w:r w:rsidRPr="005B5BF1">
        <w:rPr>
          <w:rFonts w:ascii="Times New Roman" w:eastAsia="Times New Roman" w:hAnsi="Times New Roman"/>
          <w:color w:val="202124"/>
          <w:sz w:val="28"/>
          <w:szCs w:val="28"/>
          <w:lang w:val="ru-RU" w:eastAsia="uk-UA"/>
        </w:rPr>
        <w:t>uest</w:t>
      </w:r>
      <w:proofErr w:type="spellEnd"/>
      <w:r w:rsidRPr="005B5BF1">
        <w:rPr>
          <w:rFonts w:ascii="Times New Roman" w:eastAsia="Times New Roman" w:hAnsi="Times New Roman"/>
          <w:color w:val="202124"/>
          <w:sz w:val="28"/>
          <w:szCs w:val="28"/>
          <w:lang w:val="ru-RU" w:eastAsia="uk-UA"/>
        </w:rPr>
        <w:t xml:space="preserve"> </w:t>
      </w:r>
      <w:r w:rsidRPr="005B5BF1">
        <w:rPr>
          <w:rFonts w:ascii="Times New Roman" w:eastAsia="Times New Roman" w:hAnsi="Times New Roman"/>
          <w:color w:val="202124"/>
          <w:sz w:val="28"/>
          <w:szCs w:val="28"/>
          <w:lang w:eastAsia="uk-UA"/>
        </w:rPr>
        <w:t>«Скарби бойків».</w:t>
      </w:r>
      <w:proofErr w:type="gramEnd"/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uk-UA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uk-UA"/>
        </w:rPr>
      </w:pPr>
      <w:r w:rsidRPr="005B5BF1">
        <w:rPr>
          <w:rFonts w:ascii="Times New Roman" w:eastAsia="Times New Roman" w:hAnsi="Times New Roman"/>
          <w:color w:val="202124"/>
          <w:sz w:val="28"/>
          <w:szCs w:val="28"/>
          <w:lang w:eastAsia="uk-UA"/>
        </w:rPr>
        <w:t>Дитячий фестиваль «Журавлики щастя».</w:t>
      </w:r>
    </w:p>
    <w:p w:rsidR="00C704F2" w:rsidRPr="005B5BF1" w:rsidRDefault="00C704F2" w:rsidP="00C704F2">
      <w:pPr>
        <w:spacing w:after="160" w:line="256" w:lineRule="auto"/>
        <w:contextualSpacing/>
        <w:rPr>
          <w:rFonts w:ascii="Times New Roman" w:eastAsia="Times New Roman" w:hAnsi="Times New Roman"/>
          <w:color w:val="202124"/>
          <w:sz w:val="28"/>
          <w:szCs w:val="28"/>
          <w:lang w:eastAsia="uk-UA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B5BF1">
        <w:rPr>
          <w:rFonts w:ascii="Times New Roman" w:eastAsia="Times New Roman" w:hAnsi="Times New Roman"/>
          <w:color w:val="202124"/>
          <w:sz w:val="28"/>
          <w:szCs w:val="28"/>
          <w:lang w:eastAsia="uk-UA"/>
        </w:rPr>
        <w:t xml:space="preserve">Молодіжні заходи: Битва </w:t>
      </w:r>
      <w:proofErr w:type="spellStart"/>
      <w:r w:rsidRPr="005B5BF1">
        <w:rPr>
          <w:rFonts w:ascii="Times New Roman" w:eastAsia="Times New Roman" w:hAnsi="Times New Roman"/>
          <w:color w:val="202124"/>
          <w:sz w:val="28"/>
          <w:szCs w:val="28"/>
          <w:lang w:eastAsia="uk-UA"/>
        </w:rPr>
        <w:t>Діджеїв</w:t>
      </w:r>
      <w:proofErr w:type="spellEnd"/>
      <w:r w:rsidRPr="005B5BF1">
        <w:rPr>
          <w:rFonts w:ascii="Times New Roman" w:eastAsia="Times New Roman" w:hAnsi="Times New Roman"/>
          <w:color w:val="202124"/>
          <w:sz w:val="28"/>
          <w:szCs w:val="28"/>
          <w:lang w:eastAsia="uk-UA"/>
        </w:rPr>
        <w:t xml:space="preserve">; </w:t>
      </w:r>
      <w:proofErr w:type="spellStart"/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Open</w:t>
      </w:r>
      <w:proofErr w:type="spellEnd"/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Air</w:t>
      </w:r>
      <w:proofErr w:type="spellEnd"/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Fest</w:t>
      </w:r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веломарафони</w:t>
      </w:r>
      <w:proofErr w:type="spellEnd"/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C704F2" w:rsidRPr="005B5BF1" w:rsidRDefault="00C704F2" w:rsidP="00C704F2">
      <w:pPr>
        <w:spacing w:after="160" w:line="256" w:lineRule="auto"/>
        <w:contextualSpacing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Етно та </w:t>
      </w:r>
      <w:proofErr w:type="spellStart"/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гастро</w:t>
      </w:r>
      <w:proofErr w:type="spellEnd"/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фестивалі та фестивалі народного спрямування.</w:t>
      </w:r>
    </w:p>
    <w:p w:rsidR="00C704F2" w:rsidRPr="005B5BF1" w:rsidRDefault="00C704F2" w:rsidP="00C704F2">
      <w:pPr>
        <w:spacing w:after="160" w:line="256" w:lineRule="auto"/>
        <w:contextualSpacing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Організація туристичних походів та розширення туристичного потенціалу рідного краю.</w:t>
      </w:r>
    </w:p>
    <w:p w:rsidR="00C704F2" w:rsidRPr="005B5BF1" w:rsidRDefault="00C704F2" w:rsidP="00C704F2">
      <w:pPr>
        <w:spacing w:after="160" w:line="256" w:lineRule="auto"/>
        <w:contextualSpacing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B5B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Організація заходів в рамках співпраці з громадськими організаціями. 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5B5BF1">
        <w:rPr>
          <w:rFonts w:ascii="Times New Roman" w:hAnsi="Times New Roman"/>
          <w:b/>
          <w:sz w:val="28"/>
          <w:szCs w:val="28"/>
          <w:lang w:val="ru-RU"/>
        </w:rPr>
        <w:t>Очікувана</w:t>
      </w:r>
      <w:proofErr w:type="spellEnd"/>
      <w:r w:rsidRPr="005B5B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b/>
          <w:sz w:val="28"/>
          <w:szCs w:val="28"/>
          <w:lang w:val="ru-RU"/>
        </w:rPr>
        <w:t>ефективність</w:t>
      </w:r>
      <w:proofErr w:type="spellEnd"/>
      <w:r w:rsidRPr="005B5B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b/>
          <w:sz w:val="28"/>
          <w:szCs w:val="28"/>
          <w:lang w:val="ru-RU"/>
        </w:rPr>
        <w:t>виконання</w:t>
      </w:r>
      <w:proofErr w:type="spellEnd"/>
      <w:r w:rsidRPr="005B5B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У </w:t>
      </w:r>
      <w:proofErr w:type="spellStart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результаті</w:t>
      </w:r>
      <w:proofErr w:type="spellEnd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виконання</w:t>
      </w:r>
      <w:proofErr w:type="spellEnd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програми</w:t>
      </w:r>
      <w:proofErr w:type="spellEnd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очіку</w:t>
      </w:r>
      <w:proofErr w:type="gramEnd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ється</w:t>
      </w:r>
      <w:proofErr w:type="spellEnd"/>
      <w:r w:rsidRPr="005B5BF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: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умов для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належного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мережі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 з метою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вільної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ізноманітної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мистецької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творчості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національних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традицій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звичаїв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творчого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потенціалу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культурного простору </w:t>
      </w:r>
      <w:r w:rsidRPr="005B5BF1">
        <w:rPr>
          <w:rFonts w:ascii="Times New Roman" w:hAnsi="Times New Roman"/>
          <w:sz w:val="28"/>
          <w:szCs w:val="28"/>
        </w:rPr>
        <w:t>громади</w:t>
      </w:r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доступності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мистецтва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широких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верств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усім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верствам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lastRenderedPageBreak/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активізація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місцевих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осередків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національних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творчих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спілок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громадських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організацій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шляхом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налагодження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співробітництва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спільних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програм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  <w:t xml:space="preserve">контроль за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використанням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автентичних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матер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іалів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охорона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недопущення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приводять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народних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мистецьких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традицій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ідтримка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народних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промислів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ремесел;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розширення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української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мови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наповнення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фондів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бібліотек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5BF1">
        <w:rPr>
          <w:rFonts w:ascii="Times New Roman" w:hAnsi="Times New Roman"/>
          <w:sz w:val="28"/>
          <w:szCs w:val="28"/>
        </w:rPr>
        <w:t>селища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іально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важливою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книжковою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продукцією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періодичними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виданнями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раціонального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ресурсі</w:t>
      </w:r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збільшення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садиб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наданню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послу</w:t>
      </w:r>
      <w:r w:rsidRPr="005B5BF1">
        <w:rPr>
          <w:rFonts w:ascii="Times New Roman" w:hAnsi="Times New Roman"/>
          <w:sz w:val="28"/>
          <w:szCs w:val="28"/>
        </w:rPr>
        <w:t>г;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рекламно –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інформаційної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ідтримки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туризму та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залучення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інвесторів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збільшення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надходжень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 xml:space="preserve"> бюджету</w:t>
      </w:r>
      <w:r w:rsidRPr="005B5BF1">
        <w:rPr>
          <w:rFonts w:ascii="Times New Roman" w:hAnsi="Times New Roman"/>
          <w:sz w:val="28"/>
          <w:szCs w:val="28"/>
        </w:rPr>
        <w:t>;</w:t>
      </w: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5BF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прискорення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української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5B5BF1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5B5BF1">
        <w:rPr>
          <w:rFonts w:ascii="Times New Roman" w:hAnsi="Times New Roman"/>
          <w:sz w:val="28"/>
          <w:szCs w:val="28"/>
          <w:lang w:val="ru-RU"/>
        </w:rPr>
        <w:t>ітовий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культурний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простір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сприятиме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формуванню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позитивного </w:t>
      </w:r>
      <w:proofErr w:type="spellStart"/>
      <w:r w:rsidRPr="005B5BF1">
        <w:rPr>
          <w:rFonts w:ascii="Times New Roman" w:hAnsi="Times New Roman"/>
          <w:sz w:val="28"/>
          <w:szCs w:val="28"/>
          <w:lang w:val="ru-RU"/>
        </w:rPr>
        <w:t>іміджу</w:t>
      </w:r>
      <w:proofErr w:type="spellEnd"/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5BF1">
        <w:rPr>
          <w:rFonts w:ascii="Times New Roman" w:hAnsi="Times New Roman"/>
          <w:sz w:val="28"/>
          <w:szCs w:val="28"/>
        </w:rPr>
        <w:t>Солотвинської</w:t>
      </w:r>
      <w:proofErr w:type="spellEnd"/>
      <w:r w:rsidRPr="005B5BF1">
        <w:rPr>
          <w:rFonts w:ascii="Times New Roman" w:hAnsi="Times New Roman"/>
          <w:sz w:val="28"/>
          <w:szCs w:val="28"/>
        </w:rPr>
        <w:t xml:space="preserve"> громади</w:t>
      </w:r>
      <w:r w:rsidRPr="005B5B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5BF1">
        <w:rPr>
          <w:rFonts w:ascii="Times New Roman" w:hAnsi="Times New Roman"/>
          <w:sz w:val="28"/>
          <w:szCs w:val="28"/>
        </w:rPr>
        <w:t>не тільки на Прикарпатті, а й в Україні.</w:t>
      </w:r>
    </w:p>
    <w:p w:rsidR="00C704F2" w:rsidRPr="005B5BF1" w:rsidRDefault="00C704F2" w:rsidP="00C704F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B5BF1"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</w:p>
    <w:p w:rsidR="00C704F2" w:rsidRPr="005B5BF1" w:rsidRDefault="00C704F2" w:rsidP="00C704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04F2" w:rsidRPr="005B5BF1" w:rsidRDefault="00C704F2" w:rsidP="00C704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bookmarkStart w:id="0" w:name="_GoBack"/>
      <w:bookmarkEnd w:id="0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lastRenderedPageBreak/>
        <w:t xml:space="preserve">Паспорт </w:t>
      </w: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селищної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цільов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ої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П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рограм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и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ТГ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br/>
        <w:t>«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»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на 20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22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-202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5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роки</w:t>
      </w: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Ініціатори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розроблення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Солотвинська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селищна рада </w:t>
      </w: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Івано-Франківськ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району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Івано-Франківськ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ої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області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2.  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Розробники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: 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відділ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культури, туризму, національностей та </w:t>
      </w:r>
      <w:proofErr w:type="gramStart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рел</w:t>
      </w:r>
      <w:proofErr w:type="gramEnd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ігій селищної ради.</w:t>
      </w: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3.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Терміни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реалізації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: 20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-202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роки.</w:t>
      </w: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4.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Етапи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: 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2022-2025 роки</w:t>
      </w: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5.</w:t>
      </w:r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Очікувані 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бсяги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: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тис.грн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 </w:t>
      </w:r>
    </w:p>
    <w:tbl>
      <w:tblPr>
        <w:tblW w:w="9681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07"/>
        <w:gridCol w:w="2289"/>
        <w:gridCol w:w="2803"/>
        <w:gridCol w:w="2482"/>
      </w:tblGrid>
      <w:tr w:rsidR="00C704F2" w:rsidRPr="005B5BF1" w:rsidTr="000569D6">
        <w:trPr>
          <w:trHeight w:val="645"/>
        </w:trPr>
        <w:tc>
          <w:tcPr>
            <w:tcW w:w="2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Роки</w:t>
            </w:r>
          </w:p>
        </w:tc>
        <w:tc>
          <w:tcPr>
            <w:tcW w:w="7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Oбсяги</w:t>
            </w:r>
            <w:proofErr w:type="spellEnd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тис</w:t>
            </w:r>
            <w:proofErr w:type="gramStart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.г</w:t>
            </w:r>
            <w:proofErr w:type="gramEnd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рн</w:t>
            </w:r>
            <w:proofErr w:type="spellEnd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C704F2" w:rsidRPr="005B5BF1" w:rsidTr="000569D6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4F2" w:rsidRPr="005B5BF1" w:rsidRDefault="00C704F2" w:rsidP="000569D6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Всього</w:t>
            </w:r>
            <w:proofErr w:type="spellEnd"/>
          </w:p>
        </w:tc>
        <w:tc>
          <w:tcPr>
            <w:tcW w:w="5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. за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джерелами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</w:p>
        </w:tc>
      </w:tr>
      <w:tr w:rsidR="00C704F2" w:rsidRPr="005B5BF1" w:rsidTr="000569D6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4F2" w:rsidRPr="005B5BF1" w:rsidRDefault="00C704F2" w:rsidP="000569D6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4F2" w:rsidRPr="005B5BF1" w:rsidRDefault="00C704F2" w:rsidP="000569D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селищний</w:t>
            </w:r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бюджет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br/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джерела</w:t>
            </w:r>
            <w:proofErr w:type="spellEnd"/>
          </w:p>
        </w:tc>
      </w:tr>
      <w:tr w:rsidR="00C704F2" w:rsidRPr="005B5BF1" w:rsidTr="000569D6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-202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5230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5230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C704F2" w:rsidRPr="005B5BF1" w:rsidTr="000569D6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C704F2" w:rsidRPr="005B5BF1" w:rsidTr="000569D6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980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</w:p>
        </w:tc>
      </w:tr>
      <w:tr w:rsidR="00C704F2" w:rsidRPr="005B5BF1" w:rsidTr="000569D6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1200,0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1200,0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C704F2" w:rsidRPr="005B5BF1" w:rsidTr="000569D6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1400,0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1400,0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</w:p>
        </w:tc>
      </w:tr>
      <w:tr w:rsidR="00C704F2" w:rsidRPr="005B5BF1" w:rsidTr="000569D6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1650,0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165,0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</w:p>
        </w:tc>
      </w:tr>
    </w:tbl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</w:pPr>
    </w:p>
    <w:p w:rsidR="00C704F2" w:rsidRPr="005B5BF1" w:rsidRDefault="00C704F2" w:rsidP="00C704F2">
      <w:pPr>
        <w:shd w:val="clear" w:color="auto" w:fill="FFFFFF"/>
        <w:tabs>
          <w:tab w:val="left" w:pos="3029"/>
          <w:tab w:val="right" w:pos="9639"/>
        </w:tabs>
        <w:spacing w:after="0" w:line="240" w:lineRule="auto"/>
        <w:jc w:val="right"/>
        <w:rPr>
          <w:rFonts w:ascii="Times New Roman" w:eastAsia="Times New Roman" w:hAnsi="Times New Roman"/>
          <w:bCs/>
          <w:i/>
          <w:color w:val="050505"/>
          <w:sz w:val="24"/>
          <w:szCs w:val="24"/>
          <w:lang w:val="ru-RU" w:eastAsia="ru-RU"/>
        </w:rPr>
      </w:pP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lastRenderedPageBreak/>
        <w:tab/>
        <w:t>Додаток до селищної</w:t>
      </w: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val="ru-RU" w:eastAsia="ru-RU"/>
        </w:rPr>
        <w:t>цільов</w:t>
      </w: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>ої</w:t>
      </w:r>
      <w:proofErr w:type="spellEnd"/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>П</w:t>
      </w:r>
      <w:proofErr w:type="spellStart"/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val="ru-RU" w:eastAsia="ru-RU"/>
        </w:rPr>
        <w:t>рограм</w:t>
      </w:r>
      <w:proofErr w:type="spellEnd"/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 xml:space="preserve">и </w:t>
      </w:r>
      <w:proofErr w:type="spellStart"/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 xml:space="preserve"> ТГ</w:t>
      </w: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val="ru-RU" w:eastAsia="ru-RU"/>
        </w:rPr>
        <w:br/>
        <w:t>«</w:t>
      </w: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>Розвиток культури та туризму</w:t>
      </w: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val="ru-RU" w:eastAsia="ru-RU"/>
        </w:rPr>
        <w:t>»</w:t>
      </w: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 xml:space="preserve"> </w:t>
      </w: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val="ru-RU" w:eastAsia="ru-RU"/>
        </w:rPr>
        <w:t>на 20</w:t>
      </w: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>22</w:t>
      </w: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val="ru-RU" w:eastAsia="ru-RU"/>
        </w:rPr>
        <w:t>-202</w:t>
      </w: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>5</w:t>
      </w:r>
      <w:r w:rsidRPr="005B5BF1">
        <w:rPr>
          <w:rFonts w:ascii="Times New Roman" w:eastAsia="Times New Roman" w:hAnsi="Times New Roman"/>
          <w:bCs/>
          <w:i/>
          <w:color w:val="050505"/>
          <w:sz w:val="24"/>
          <w:szCs w:val="24"/>
          <w:lang w:val="ru-RU" w:eastAsia="ru-RU"/>
        </w:rPr>
        <w:t xml:space="preserve"> роки</w:t>
      </w:r>
    </w:p>
    <w:p w:rsidR="00C704F2" w:rsidRPr="005B5BF1" w:rsidRDefault="00C704F2" w:rsidP="00C704F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Перелік заходів селищної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цільов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ої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П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рограм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и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ТГ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br/>
        <w:t>«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»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на 20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22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-202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5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роки</w:t>
      </w: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ru-RU"/>
        </w:rPr>
      </w:pPr>
    </w:p>
    <w:tbl>
      <w:tblPr>
        <w:tblpPr w:leftFromText="180" w:rightFromText="180" w:vertAnchor="page" w:horzAnchor="margin" w:tblpY="3196"/>
        <w:tblW w:w="978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"/>
        <w:gridCol w:w="2467"/>
        <w:gridCol w:w="913"/>
        <w:gridCol w:w="949"/>
        <w:gridCol w:w="719"/>
        <w:gridCol w:w="2230"/>
        <w:gridCol w:w="2230"/>
      </w:tblGrid>
      <w:tr w:rsidR="00C704F2" w:rsidRPr="005B5BF1" w:rsidTr="000569D6">
        <w:trPr>
          <w:trHeight w:val="198"/>
        </w:trPr>
        <w:tc>
          <w:tcPr>
            <w:tcW w:w="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з/п</w:t>
            </w:r>
          </w:p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заходу</w:t>
            </w:r>
          </w:p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Виконавець</w:t>
            </w:r>
          </w:p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Термін </w:t>
            </w:r>
          </w:p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виконання</w:t>
            </w:r>
          </w:p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Очікувані результати</w:t>
            </w:r>
          </w:p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04F2" w:rsidRPr="005B5BF1" w:rsidTr="000569D6">
        <w:trPr>
          <w:trHeight w:val="238"/>
        </w:trPr>
        <w:tc>
          <w:tcPr>
            <w:tcW w:w="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роки</w:t>
            </w:r>
          </w:p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04F2" w:rsidRPr="005B5BF1" w:rsidTr="000569D6">
        <w:trPr>
          <w:trHeight w:val="308"/>
        </w:trPr>
        <w:tc>
          <w:tcPr>
            <w:tcW w:w="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04F2" w:rsidRPr="005B5BF1" w:rsidTr="000569D6">
        <w:trPr>
          <w:trHeight w:val="308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04F2" w:rsidRPr="005B5BF1" w:rsidTr="000569D6">
        <w:trPr>
          <w:trHeight w:val="142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B5BF1">
              <w:rPr>
                <w:rFonts w:ascii="Times New Roman" w:hAnsi="Times New Roman"/>
                <w:sz w:val="24"/>
              </w:rPr>
              <w:t>Забезпечити придбання будівельних матеріалів, проведення ремонтних робіт, придбання техніки, звукової та освітлювальної апаратури.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Відділ культури. туризму, національностей та релігій</w:t>
            </w:r>
          </w:p>
          <w:p w:rsidR="00C704F2" w:rsidRPr="005B5BF1" w:rsidRDefault="00C704F2" w:rsidP="00056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впродовж року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2" w:rsidRPr="005B5BF1" w:rsidRDefault="00C704F2" w:rsidP="000569D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>р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>озвиток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 xml:space="preserve"> культурно-мистецького життя громади та туристичної</w:t>
            </w:r>
          </w:p>
          <w:p w:rsidR="00C704F2" w:rsidRPr="005B5BF1" w:rsidRDefault="00C704F2" w:rsidP="00056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 xml:space="preserve"> інфраструктури</w:t>
            </w:r>
          </w:p>
        </w:tc>
      </w:tr>
      <w:tr w:rsidR="00C704F2" w:rsidRPr="005B5BF1" w:rsidTr="000569D6">
        <w:trPr>
          <w:trHeight w:val="142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B5BF1">
              <w:rPr>
                <w:rFonts w:ascii="Times New Roman" w:hAnsi="Times New Roman"/>
                <w:sz w:val="24"/>
              </w:rPr>
              <w:t xml:space="preserve">Сприяння та проведення </w:t>
            </w:r>
            <w:proofErr w:type="spellStart"/>
            <w:r w:rsidRPr="005B5BF1">
              <w:rPr>
                <w:rFonts w:ascii="Times New Roman" w:hAnsi="Times New Roman"/>
                <w:sz w:val="24"/>
              </w:rPr>
              <w:t>гастро</w:t>
            </w:r>
            <w:proofErr w:type="spellEnd"/>
            <w:r w:rsidRPr="005B5BF1"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 w:rsidRPr="005B5BF1">
              <w:rPr>
                <w:rFonts w:ascii="Times New Roman" w:hAnsi="Times New Roman"/>
                <w:sz w:val="24"/>
              </w:rPr>
              <w:t>етно</w:t>
            </w:r>
            <w:proofErr w:type="spellEnd"/>
            <w:r w:rsidRPr="005B5BF1">
              <w:rPr>
                <w:rFonts w:ascii="Times New Roman" w:hAnsi="Times New Roman"/>
                <w:sz w:val="24"/>
              </w:rPr>
              <w:t xml:space="preserve"> фестивалів, мистецьких конкурсів, оглядів художньої  творчості, виставок робіт майстрів декоративно-прикладного мистецтва та майстрів народної творчості.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Відділ культури. туризму, національностей та релігій</w:t>
            </w:r>
          </w:p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впродовж року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</w:pPr>
            <w:proofErr w:type="spellStart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>сприя</w:t>
            </w: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>ння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>культурно-мистецького</w:t>
            </w: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>, збереження народних звичаїв та обряді</w:t>
            </w:r>
            <w:proofErr w:type="gramStart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>в</w:t>
            </w:r>
            <w:proofErr w:type="gramEnd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 xml:space="preserve">, а також культури нематеріальної спадщини, </w:t>
            </w: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>вихованн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>я</w:t>
            </w: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>патріотизму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>;</w:t>
            </w:r>
          </w:p>
          <w:p w:rsidR="00C704F2" w:rsidRPr="005B5BF1" w:rsidRDefault="00C704F2" w:rsidP="00056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br/>
            </w:r>
          </w:p>
        </w:tc>
      </w:tr>
      <w:tr w:rsidR="00C704F2" w:rsidRPr="005B5BF1" w:rsidTr="000569D6">
        <w:trPr>
          <w:trHeight w:val="2468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Виготовлення технічної  та іншої документації на заклади культури та туристичної інфраструктури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Відділ культури. туризму, національностей та релігій</w:t>
            </w:r>
          </w:p>
          <w:p w:rsidR="00C704F2" w:rsidRPr="005B5BF1" w:rsidRDefault="00C704F2" w:rsidP="00056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впродовж року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C704F2" w:rsidRPr="005B5BF1" w:rsidRDefault="00C704F2" w:rsidP="0005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F1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04F2" w:rsidRPr="005B5BF1" w:rsidRDefault="00C704F2" w:rsidP="000569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>Впорядкування документацій, с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>твор</w:t>
            </w: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>ення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 xml:space="preserve"> </w:t>
            </w: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>збереження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>національної</w:t>
            </w:r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 xml:space="preserve"> та розвитку туристичного потенціалу краю</w:t>
            </w:r>
          </w:p>
          <w:p w:rsidR="00C704F2" w:rsidRPr="005B5BF1" w:rsidRDefault="00C704F2" w:rsidP="000569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704F2" w:rsidRPr="005B5BF1" w:rsidRDefault="00C704F2" w:rsidP="00C704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04F2" w:rsidRPr="005B5BF1" w:rsidRDefault="00C704F2" w:rsidP="00C704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B5BF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Перший заступник голови                                                        Наталія     ТЮТЮННИК</w:t>
      </w:r>
    </w:p>
    <w:p w:rsidR="00C704F2" w:rsidRPr="005B5BF1" w:rsidRDefault="00C704F2" w:rsidP="00C704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04F2" w:rsidRPr="00E46DF4" w:rsidRDefault="00C704F2" w:rsidP="00C704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704F2" w:rsidRDefault="00C704F2"/>
    <w:sectPr w:rsidR="00C704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F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704F2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04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04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9619</Words>
  <Characters>5484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2022-05-24T06:57:00Z</dcterms:created>
  <dcterms:modified xsi:type="dcterms:W3CDTF">2022-05-24T06:59:00Z</dcterms:modified>
</cp:coreProperties>
</file>